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761773D">
      <w:pPr>
        <w:tabs>
          <w:tab w:val="left" w:pos="1170"/>
        </w:tabs>
        <w:spacing w:line="360" w:lineRule="auto"/>
        <w:jc w:val="center"/>
        <w:rPr>
          <w:rFonts w:ascii="Times New Roman" w:hAnsi="Times New Roman" w:cs="Times New Roman"/>
          <w:b/>
          <w:bCs/>
          <w:sz w:val="36"/>
          <w:szCs w:val="36"/>
        </w:rPr>
      </w:pPr>
    </w:p>
    <w:p w14:paraId="3761773E">
      <w:pPr>
        <w:tabs>
          <w:tab w:val="left" w:pos="1170"/>
        </w:tabs>
        <w:spacing w:line="360" w:lineRule="auto"/>
        <w:jc w:val="center"/>
        <w:rPr>
          <w:rFonts w:ascii="Times New Roman" w:hAnsi="Times New Roman" w:cs="Times New Roman"/>
          <w:b/>
          <w:bCs/>
          <w:sz w:val="36"/>
          <w:szCs w:val="36"/>
        </w:rPr>
      </w:pPr>
    </w:p>
    <w:p w14:paraId="3761773F">
      <w:pPr>
        <w:tabs>
          <w:tab w:val="left" w:pos="1170"/>
        </w:tabs>
        <w:spacing w:line="360" w:lineRule="auto"/>
        <w:jc w:val="center"/>
        <w:rPr>
          <w:rFonts w:ascii="Times New Roman" w:hAnsi="Times New Roman" w:cs="Times New Roman"/>
          <w:b/>
          <w:bCs/>
          <w:sz w:val="36"/>
          <w:szCs w:val="36"/>
        </w:rPr>
      </w:pPr>
    </w:p>
    <w:p w14:paraId="37617740">
      <w:pPr>
        <w:tabs>
          <w:tab w:val="left" w:pos="1170"/>
        </w:tabs>
        <w:spacing w:line="360" w:lineRule="auto"/>
        <w:jc w:val="center"/>
        <w:rPr>
          <w:rFonts w:ascii="Times New Roman" w:hAnsi="Times New Roman" w:cs="Times New Roman"/>
          <w:b/>
          <w:bCs/>
          <w:sz w:val="36"/>
          <w:szCs w:val="36"/>
        </w:rPr>
      </w:pPr>
    </w:p>
    <w:p w14:paraId="37617741">
      <w:pPr>
        <w:tabs>
          <w:tab w:val="left" w:pos="1170"/>
        </w:tabs>
        <w:spacing w:line="360" w:lineRule="auto"/>
        <w:jc w:val="center"/>
        <w:rPr>
          <w:rFonts w:ascii="Times New Roman" w:hAnsi="Times New Roman" w:cs="Times New Roman"/>
          <w:b/>
          <w:bCs/>
          <w:sz w:val="36"/>
          <w:szCs w:val="36"/>
        </w:rPr>
      </w:pPr>
    </w:p>
    <w:p w14:paraId="37617742">
      <w:pPr>
        <w:tabs>
          <w:tab w:val="left" w:pos="1170"/>
        </w:tabs>
        <w:spacing w:line="360" w:lineRule="auto"/>
        <w:jc w:val="center"/>
        <w:rPr>
          <w:rFonts w:ascii="Times New Roman" w:hAnsi="Times New Roman" w:cs="Times New Roman"/>
          <w:b/>
          <w:bCs/>
          <w:sz w:val="36"/>
          <w:szCs w:val="36"/>
        </w:rPr>
      </w:pPr>
    </w:p>
    <w:p w14:paraId="37617743">
      <w:pPr>
        <w:tabs>
          <w:tab w:val="left" w:pos="1170"/>
        </w:tabs>
        <w:spacing w:line="360" w:lineRule="auto"/>
        <w:jc w:val="center"/>
        <w:rPr>
          <w:rFonts w:ascii="Times New Roman" w:hAnsi="Times New Roman" w:cs="Times New Roman"/>
          <w:b/>
          <w:bCs/>
          <w:sz w:val="36"/>
          <w:szCs w:val="36"/>
        </w:rPr>
      </w:pPr>
    </w:p>
    <w:p w14:paraId="37617744">
      <w:pPr>
        <w:tabs>
          <w:tab w:val="left" w:pos="1170"/>
        </w:tabs>
        <w:spacing w:line="360" w:lineRule="auto"/>
        <w:jc w:val="center"/>
        <w:rPr>
          <w:rFonts w:ascii="Times New Roman" w:hAnsi="Times New Roman" w:cs="Times New Roman"/>
          <w:b/>
          <w:bCs/>
          <w:sz w:val="36"/>
          <w:szCs w:val="36"/>
        </w:rPr>
      </w:pPr>
    </w:p>
    <w:p w14:paraId="37617745">
      <w:pPr>
        <w:tabs>
          <w:tab w:val="left" w:pos="1170"/>
        </w:tabs>
        <w:spacing w:line="360" w:lineRule="auto"/>
        <w:jc w:val="center"/>
        <w:rPr>
          <w:rFonts w:ascii="Times New Roman" w:hAnsi="Times New Roman" w:cs="Times New Roman"/>
          <w:b/>
          <w:bCs/>
          <w:sz w:val="36"/>
          <w:szCs w:val="36"/>
        </w:rPr>
      </w:pPr>
    </w:p>
    <w:p w14:paraId="37617746">
      <w:pPr>
        <w:tabs>
          <w:tab w:val="left" w:pos="1170"/>
        </w:tabs>
        <w:spacing w:line="360" w:lineRule="auto"/>
        <w:jc w:val="center"/>
        <w:rPr>
          <w:rFonts w:ascii="Times New Roman" w:hAnsi="Times New Roman" w:cs="Times New Roman"/>
          <w:b/>
          <w:bCs/>
          <w:sz w:val="36"/>
          <w:szCs w:val="36"/>
        </w:rPr>
      </w:pPr>
    </w:p>
    <w:p w14:paraId="37617747">
      <w:pPr>
        <w:tabs>
          <w:tab w:val="left" w:pos="1170"/>
        </w:tabs>
        <w:spacing w:line="360" w:lineRule="auto"/>
        <w:jc w:val="center"/>
        <w:rPr>
          <w:rFonts w:ascii="Times New Roman" w:hAnsi="Times New Roman" w:cs="Times New Roman"/>
          <w:b/>
          <w:bCs/>
          <w:sz w:val="36"/>
          <w:szCs w:val="36"/>
        </w:rPr>
      </w:pPr>
      <w:r>
        <w:rPr>
          <w:rFonts w:ascii="Times New Roman" w:hAnsi="Times New Roman" w:cs="Times New Roman"/>
          <w:b/>
          <w:bCs/>
          <w:sz w:val="36"/>
          <w:szCs w:val="36"/>
        </w:rPr>
        <w:t>ESTUDO TÉCNICO PRELIMINAR Nº 02/2026</w:t>
      </w:r>
    </w:p>
    <w:p w14:paraId="37617748">
      <w:pPr>
        <w:tabs>
          <w:tab w:val="left" w:pos="1170"/>
        </w:tabs>
        <w:spacing w:line="360" w:lineRule="auto"/>
        <w:jc w:val="center"/>
        <w:rPr>
          <w:rFonts w:ascii="Times New Roman" w:hAnsi="Times New Roman" w:cs="Times New Roman"/>
          <w:b/>
          <w:bCs/>
          <w:sz w:val="36"/>
          <w:szCs w:val="36"/>
        </w:rPr>
      </w:pPr>
    </w:p>
    <w:p w14:paraId="37617749">
      <w:pPr>
        <w:tabs>
          <w:tab w:val="left" w:pos="1170"/>
        </w:tabs>
        <w:spacing w:line="360" w:lineRule="auto"/>
        <w:jc w:val="center"/>
        <w:rPr>
          <w:rFonts w:ascii="Times New Roman" w:hAnsi="Times New Roman" w:cs="Times New Roman"/>
          <w:b/>
          <w:bCs/>
          <w:sz w:val="36"/>
          <w:szCs w:val="36"/>
        </w:rPr>
      </w:pPr>
    </w:p>
    <w:p w14:paraId="3761774A">
      <w:pPr>
        <w:tabs>
          <w:tab w:val="left" w:pos="1170"/>
        </w:tabs>
        <w:spacing w:line="360" w:lineRule="auto"/>
        <w:jc w:val="center"/>
        <w:rPr>
          <w:rFonts w:ascii="Times New Roman" w:hAnsi="Times New Roman" w:cs="Times New Roman"/>
          <w:b/>
          <w:bCs/>
          <w:sz w:val="36"/>
          <w:szCs w:val="36"/>
        </w:rPr>
      </w:pPr>
    </w:p>
    <w:p w14:paraId="3761774B">
      <w:pPr>
        <w:tabs>
          <w:tab w:val="left" w:pos="1170"/>
        </w:tabs>
        <w:spacing w:line="360" w:lineRule="auto"/>
        <w:jc w:val="center"/>
        <w:rPr>
          <w:rFonts w:ascii="Times New Roman" w:hAnsi="Times New Roman" w:cs="Times New Roman"/>
          <w:b/>
          <w:bCs/>
          <w:sz w:val="36"/>
          <w:szCs w:val="36"/>
        </w:rPr>
      </w:pPr>
    </w:p>
    <w:p w14:paraId="3761774C">
      <w:pPr>
        <w:tabs>
          <w:tab w:val="left" w:pos="1170"/>
        </w:tabs>
        <w:spacing w:line="360" w:lineRule="auto"/>
        <w:jc w:val="center"/>
        <w:rPr>
          <w:rFonts w:ascii="Times New Roman" w:hAnsi="Times New Roman" w:cs="Times New Roman"/>
          <w:b/>
          <w:bCs/>
          <w:sz w:val="36"/>
          <w:szCs w:val="36"/>
        </w:rPr>
      </w:pPr>
    </w:p>
    <w:p w14:paraId="3761774D">
      <w:pPr>
        <w:tabs>
          <w:tab w:val="left" w:pos="1170"/>
        </w:tabs>
        <w:spacing w:line="360" w:lineRule="auto"/>
        <w:jc w:val="center"/>
        <w:rPr>
          <w:rFonts w:ascii="Times New Roman" w:hAnsi="Times New Roman" w:cs="Times New Roman"/>
          <w:b/>
          <w:bCs/>
          <w:sz w:val="36"/>
          <w:szCs w:val="36"/>
        </w:rPr>
      </w:pPr>
    </w:p>
    <w:p w14:paraId="3761774E">
      <w:pPr>
        <w:suppressAutoHyphens w:val="0"/>
        <w:spacing w:line="360" w:lineRule="auto"/>
        <w:rPr>
          <w:rFonts w:ascii="Times New Roman" w:hAnsi="Times New Roman" w:cs="Times New Roman"/>
          <w:b/>
          <w:bCs/>
          <w:sz w:val="36"/>
          <w:szCs w:val="36"/>
        </w:rPr>
      </w:pPr>
    </w:p>
    <w:sdt>
      <w:sdtPr>
        <w:rPr>
          <w:rFonts w:ascii="Times New Roman" w:hAnsi="Times New Roman" w:eastAsia="Arial" w:cs="Times New Roman"/>
          <w:color w:val="auto"/>
          <w:sz w:val="22"/>
          <w:szCs w:val="22"/>
          <w:lang w:eastAsia="en-US"/>
        </w:rPr>
        <w:id w:val="-583683833"/>
        <w:docPartObj>
          <w:docPartGallery w:val="Table of Contents"/>
          <w:docPartUnique/>
        </w:docPartObj>
      </w:sdtPr>
      <w:sdtEndPr>
        <w:rPr>
          <w:rFonts w:ascii="Times New Roman" w:hAnsi="Times New Roman" w:eastAsia="Arial" w:cs="Times New Roman"/>
          <w:color w:val="auto"/>
          <w:sz w:val="22"/>
          <w:szCs w:val="22"/>
          <w:lang w:eastAsia="en-US"/>
        </w:rPr>
      </w:sdtEndPr>
      <w:sdtContent>
        <w:p w14:paraId="3761774F">
          <w:pPr>
            <w:pStyle w:val="69"/>
            <w:spacing w:line="360" w:lineRule="auto"/>
            <w:rPr>
              <w:rFonts w:ascii="Times New Roman" w:hAnsi="Times New Roman" w:cs="Times New Roman"/>
            </w:rPr>
          </w:pPr>
          <w:r>
            <w:rPr>
              <w:rFonts w:ascii="Times New Roman" w:hAnsi="Times New Roman" w:cs="Times New Roman"/>
            </w:rPr>
            <w:br w:type="page"/>
          </w:r>
          <w:r>
            <w:rPr>
              <w:rFonts w:ascii="Times New Roman" w:hAnsi="Times New Roman" w:cs="Times New Roman"/>
            </w:rPr>
            <w:t>Sumário</w:t>
          </w:r>
        </w:p>
        <w:p w14:paraId="37617750">
          <w:pPr>
            <w:pStyle w:val="29"/>
            <w:rPr>
              <w:rFonts w:ascii="Times New Roman" w:hAnsi="Times New Roman" w:cs="Times New Roman" w:eastAsiaTheme="minorEastAsia"/>
              <w:kern w:val="2"/>
              <w:sz w:val="24"/>
              <w:szCs w:val="24"/>
              <w:lang w:eastAsia="zh-CN"/>
              <w14:ligatures w14:val="standardContextual"/>
            </w:rPr>
          </w:pPr>
          <w:r>
            <w:rPr>
              <w:rFonts w:ascii="Times New Roman" w:hAnsi="Times New Roman" w:cs="Times New Roman"/>
            </w:rPr>
            <w:fldChar w:fldCharType="begin"/>
          </w:r>
          <w:r>
            <w:rPr>
              <w:rStyle w:val="60"/>
              <w:rFonts w:ascii="Times New Roman" w:hAnsi="Times New Roman" w:cs="Times New Roman"/>
            </w:rPr>
            <w:instrText xml:space="preserve"> TOC \z \o "1-3" \u \h</w:instrText>
          </w:r>
          <w:r>
            <w:rPr>
              <w:rStyle w:val="60"/>
            </w:rPr>
            <w:fldChar w:fldCharType="separate"/>
          </w:r>
          <w:r>
            <w:fldChar w:fldCharType="begin"/>
          </w:r>
          <w:r>
            <w:instrText xml:space="preserve"> HYPERLINK \l "_Toc194397097" \h </w:instrText>
          </w:r>
          <w:r>
            <w:fldChar w:fldCharType="separate"/>
          </w:r>
          <w:r>
            <w:rPr>
              <w:rStyle w:val="60"/>
              <w:rFonts w:ascii="Times New Roman" w:hAnsi="Times New Roman" w:cs="Times New Roman"/>
            </w:rPr>
            <w:t>1.INTRODUÇÃO...........................................................................................................................................................</w:t>
          </w:r>
          <w:r>
            <w:rPr>
              <w:rFonts w:ascii="Times New Roman" w:hAnsi="Times New Roman" w:cs="Times New Roman"/>
            </w:rPr>
            <w:fldChar w:fldCharType="begin"/>
          </w:r>
          <w:r>
            <w:rPr>
              <w:rFonts w:ascii="Times New Roman" w:hAnsi="Times New Roman" w:cs="Times New Roman"/>
            </w:rPr>
            <w:instrText xml:space="preserve">PAGEREF _Toc194397097 \h</w:instrText>
          </w:r>
          <w:r>
            <w:rPr>
              <w:rFonts w:ascii="Times New Roman" w:hAnsi="Times New Roman" w:cs="Times New Roman"/>
            </w:rPr>
            <w:fldChar w:fldCharType="separate"/>
          </w:r>
          <w:r>
            <w:rPr>
              <w:rFonts w:ascii="Times New Roman" w:hAnsi="Times New Roman" w:cs="Times New Roman"/>
            </w:rPr>
            <w:t>3</w:t>
          </w:r>
          <w:r>
            <w:rPr>
              <w:rFonts w:ascii="Times New Roman" w:hAnsi="Times New Roman" w:cs="Times New Roman"/>
            </w:rPr>
            <w:fldChar w:fldCharType="end"/>
          </w:r>
          <w:r>
            <w:rPr>
              <w:rFonts w:ascii="Times New Roman" w:hAnsi="Times New Roman" w:cs="Times New Roman"/>
            </w:rPr>
            <w:fldChar w:fldCharType="end"/>
          </w:r>
        </w:p>
        <w:p w14:paraId="37617751">
          <w:pPr>
            <w:pStyle w:val="29"/>
            <w:rPr>
              <w:rFonts w:ascii="Times New Roman" w:hAnsi="Times New Roman" w:cs="Times New Roman" w:eastAsiaTheme="minorEastAsia"/>
              <w:kern w:val="2"/>
              <w:sz w:val="24"/>
              <w:szCs w:val="24"/>
              <w:lang w:eastAsia="zh-CN"/>
              <w14:ligatures w14:val="standardContextual"/>
            </w:rPr>
          </w:pPr>
          <w:r>
            <w:fldChar w:fldCharType="begin"/>
          </w:r>
          <w:r>
            <w:instrText xml:space="preserve"> HYPERLINK \l "_Toc194397098" \h </w:instrText>
          </w:r>
          <w:r>
            <w:fldChar w:fldCharType="separate"/>
          </w:r>
          <w:r>
            <w:rPr>
              <w:rStyle w:val="60"/>
              <w:rFonts w:ascii="Times New Roman" w:hAnsi="Times New Roman" w:cs="Times New Roman"/>
            </w:rPr>
            <w:t>2. DEFINIÇÃO DO OBJETO (art. 18º, §1º, INCISO “I”)............................................................................................</w:t>
          </w:r>
          <w:r>
            <w:rPr>
              <w:rFonts w:ascii="Times New Roman" w:hAnsi="Times New Roman" w:cs="Times New Roman"/>
            </w:rPr>
            <w:fldChar w:fldCharType="begin"/>
          </w:r>
          <w:r>
            <w:rPr>
              <w:rFonts w:ascii="Times New Roman" w:hAnsi="Times New Roman" w:cs="Times New Roman"/>
            </w:rPr>
            <w:instrText xml:space="preserve">PAGEREF _Toc194397098 \h</w:instrText>
          </w:r>
          <w:r>
            <w:rPr>
              <w:rFonts w:ascii="Times New Roman" w:hAnsi="Times New Roman" w:cs="Times New Roman"/>
            </w:rPr>
            <w:fldChar w:fldCharType="separate"/>
          </w:r>
          <w:r>
            <w:rPr>
              <w:rFonts w:ascii="Times New Roman" w:hAnsi="Times New Roman" w:cs="Times New Roman"/>
            </w:rPr>
            <w:t>5</w:t>
          </w:r>
          <w:r>
            <w:rPr>
              <w:rFonts w:ascii="Times New Roman" w:hAnsi="Times New Roman" w:cs="Times New Roman"/>
            </w:rPr>
            <w:fldChar w:fldCharType="end"/>
          </w:r>
          <w:r>
            <w:rPr>
              <w:rFonts w:ascii="Times New Roman" w:hAnsi="Times New Roman" w:cs="Times New Roman"/>
            </w:rPr>
            <w:fldChar w:fldCharType="end"/>
          </w:r>
        </w:p>
        <w:p w14:paraId="37617752">
          <w:pPr>
            <w:pStyle w:val="29"/>
            <w:rPr>
              <w:rFonts w:ascii="Times New Roman" w:hAnsi="Times New Roman" w:cs="Times New Roman" w:eastAsiaTheme="minorEastAsia"/>
              <w:kern w:val="2"/>
              <w:sz w:val="24"/>
              <w:szCs w:val="24"/>
              <w:lang w:eastAsia="zh-CN"/>
              <w14:ligatures w14:val="standardContextual"/>
            </w:rPr>
          </w:pPr>
          <w:r>
            <w:fldChar w:fldCharType="begin"/>
          </w:r>
          <w:r>
            <w:instrText xml:space="preserve"> HYPERLINK \l "_Toc194397099" \h </w:instrText>
          </w:r>
          <w:r>
            <w:fldChar w:fldCharType="separate"/>
          </w:r>
          <w:r>
            <w:rPr>
              <w:rStyle w:val="60"/>
              <w:rFonts w:ascii="Times New Roman" w:hAnsi="Times New Roman" w:cs="Times New Roman"/>
            </w:rPr>
            <w:t>3. PLANO DE CONTRATAÇÃO ANUAL (art. 18º, §1º, INCISO “II”)</w:t>
          </w:r>
          <w:r>
            <w:t xml:space="preserve"> </w:t>
          </w:r>
          <w:r>
            <w:rPr>
              <w:rStyle w:val="60"/>
              <w:rFonts w:ascii="Times New Roman" w:hAnsi="Times New Roman" w:cs="Times New Roman"/>
            </w:rPr>
            <w:t>....................................................................</w:t>
          </w:r>
          <w:r>
            <w:rPr>
              <w:rFonts w:ascii="Times New Roman" w:hAnsi="Times New Roman" w:cs="Times New Roman"/>
            </w:rPr>
            <w:fldChar w:fldCharType="begin"/>
          </w:r>
          <w:r>
            <w:rPr>
              <w:rFonts w:ascii="Times New Roman" w:hAnsi="Times New Roman" w:cs="Times New Roman"/>
            </w:rPr>
            <w:instrText xml:space="preserve">PAGEREF _Toc194397099 \h</w:instrText>
          </w:r>
          <w:r>
            <w:rPr>
              <w:rFonts w:ascii="Times New Roman" w:hAnsi="Times New Roman" w:cs="Times New Roman"/>
            </w:rPr>
            <w:fldChar w:fldCharType="separate"/>
          </w:r>
          <w:r>
            <w:rPr>
              <w:rFonts w:ascii="Times New Roman" w:hAnsi="Times New Roman" w:cs="Times New Roman"/>
            </w:rPr>
            <w:t>6</w:t>
          </w:r>
          <w:r>
            <w:rPr>
              <w:rFonts w:ascii="Times New Roman" w:hAnsi="Times New Roman" w:cs="Times New Roman"/>
            </w:rPr>
            <w:fldChar w:fldCharType="end"/>
          </w:r>
          <w:r>
            <w:rPr>
              <w:rFonts w:ascii="Times New Roman" w:hAnsi="Times New Roman" w:cs="Times New Roman"/>
            </w:rPr>
            <w:fldChar w:fldCharType="end"/>
          </w:r>
        </w:p>
        <w:p w14:paraId="37617753">
          <w:pPr>
            <w:pStyle w:val="29"/>
            <w:rPr>
              <w:rFonts w:ascii="Times New Roman" w:hAnsi="Times New Roman" w:cs="Times New Roman" w:eastAsiaTheme="minorEastAsia"/>
              <w:kern w:val="2"/>
              <w:sz w:val="24"/>
              <w:szCs w:val="24"/>
              <w:lang w:eastAsia="zh-CN"/>
              <w14:ligatures w14:val="standardContextual"/>
            </w:rPr>
          </w:pPr>
          <w:r>
            <w:fldChar w:fldCharType="begin"/>
          </w:r>
          <w:r>
            <w:instrText xml:space="preserve"> HYPERLINK \l "_Toc194397100" \h </w:instrText>
          </w:r>
          <w:r>
            <w:fldChar w:fldCharType="separate"/>
          </w:r>
          <w:r>
            <w:rPr>
              <w:rStyle w:val="60"/>
              <w:rFonts w:ascii="Times New Roman" w:hAnsi="Times New Roman" w:cs="Times New Roman"/>
            </w:rPr>
            <w:t>4. DESCRIÇÃO DOS REQUISITOS DA CONTRATAÇÃO (art. 18º, §1º, INCISO “III”)</w:t>
          </w:r>
          <w:r>
            <w:t xml:space="preserve"> </w:t>
          </w:r>
          <w:r>
            <w:rPr>
              <w:rStyle w:val="60"/>
              <w:rFonts w:ascii="Times New Roman" w:hAnsi="Times New Roman" w:cs="Times New Roman"/>
            </w:rPr>
            <w:t>.......................................</w:t>
          </w:r>
          <w:r>
            <w:rPr>
              <w:rFonts w:ascii="Times New Roman" w:hAnsi="Times New Roman" w:cs="Times New Roman"/>
            </w:rPr>
            <w:fldChar w:fldCharType="begin"/>
          </w:r>
          <w:r>
            <w:rPr>
              <w:rFonts w:ascii="Times New Roman" w:hAnsi="Times New Roman" w:cs="Times New Roman"/>
            </w:rPr>
            <w:instrText xml:space="preserve">PAGEREF _Toc194397100 \h</w:instrText>
          </w:r>
          <w:r>
            <w:rPr>
              <w:rFonts w:ascii="Times New Roman" w:hAnsi="Times New Roman" w:cs="Times New Roman"/>
            </w:rPr>
            <w:fldChar w:fldCharType="separate"/>
          </w:r>
          <w:r>
            <w:rPr>
              <w:rFonts w:ascii="Times New Roman" w:hAnsi="Times New Roman" w:cs="Times New Roman"/>
            </w:rPr>
            <w:t>6</w:t>
          </w:r>
          <w:r>
            <w:rPr>
              <w:rFonts w:ascii="Times New Roman" w:hAnsi="Times New Roman" w:cs="Times New Roman"/>
            </w:rPr>
            <w:fldChar w:fldCharType="end"/>
          </w:r>
          <w:r>
            <w:rPr>
              <w:rFonts w:ascii="Times New Roman" w:hAnsi="Times New Roman" w:cs="Times New Roman"/>
            </w:rPr>
            <w:fldChar w:fldCharType="end"/>
          </w:r>
        </w:p>
        <w:p w14:paraId="37617754">
          <w:pPr>
            <w:pStyle w:val="29"/>
            <w:rPr>
              <w:rFonts w:ascii="Times New Roman" w:hAnsi="Times New Roman" w:cs="Times New Roman" w:eastAsiaTheme="minorEastAsia"/>
              <w:kern w:val="2"/>
              <w:sz w:val="24"/>
              <w:szCs w:val="24"/>
              <w:lang w:eastAsia="zh-CN"/>
              <w14:ligatures w14:val="standardContextual"/>
            </w:rPr>
          </w:pPr>
          <w:r>
            <w:fldChar w:fldCharType="begin"/>
          </w:r>
          <w:r>
            <w:instrText xml:space="preserve"> HYPERLINK \l "_Toc194397101" \h </w:instrText>
          </w:r>
          <w:r>
            <w:fldChar w:fldCharType="separate"/>
          </w:r>
          <w:r>
            <w:rPr>
              <w:rStyle w:val="60"/>
              <w:rFonts w:ascii="Times New Roman" w:hAnsi="Times New Roman" w:cs="Times New Roman"/>
            </w:rPr>
            <w:t>5. ESTIMATIVA DAS QUANTIDADES (art. 18º, §1º, INCISO “III”)</w:t>
          </w:r>
          <w:r>
            <w:t xml:space="preserve"> </w:t>
          </w:r>
          <w:r>
            <w:rPr>
              <w:rStyle w:val="60"/>
              <w:rFonts w:ascii="Times New Roman" w:hAnsi="Times New Roman" w:cs="Times New Roman"/>
            </w:rPr>
            <w:t>...................................................................</w:t>
          </w:r>
          <w:r>
            <w:rPr>
              <w:rFonts w:ascii="Times New Roman" w:hAnsi="Times New Roman" w:cs="Times New Roman"/>
            </w:rPr>
            <w:fldChar w:fldCharType="begin"/>
          </w:r>
          <w:r>
            <w:rPr>
              <w:rFonts w:ascii="Times New Roman" w:hAnsi="Times New Roman" w:cs="Times New Roman"/>
            </w:rPr>
            <w:instrText xml:space="preserve">PAGEREF _Toc194397101 \h</w:instrText>
          </w:r>
          <w:r>
            <w:rPr>
              <w:rFonts w:ascii="Times New Roman" w:hAnsi="Times New Roman" w:cs="Times New Roman"/>
            </w:rPr>
            <w:fldChar w:fldCharType="separate"/>
          </w:r>
          <w:r>
            <w:rPr>
              <w:rFonts w:ascii="Times New Roman" w:hAnsi="Times New Roman" w:cs="Times New Roman"/>
            </w:rPr>
            <w:t>8</w:t>
          </w:r>
          <w:r>
            <w:rPr>
              <w:rFonts w:ascii="Times New Roman" w:hAnsi="Times New Roman" w:cs="Times New Roman"/>
            </w:rPr>
            <w:fldChar w:fldCharType="end"/>
          </w:r>
          <w:r>
            <w:rPr>
              <w:rFonts w:ascii="Times New Roman" w:hAnsi="Times New Roman" w:cs="Times New Roman"/>
            </w:rPr>
            <w:fldChar w:fldCharType="end"/>
          </w:r>
        </w:p>
        <w:p w14:paraId="37617755">
          <w:pPr>
            <w:pStyle w:val="29"/>
            <w:rPr>
              <w:rFonts w:ascii="Times New Roman" w:hAnsi="Times New Roman" w:cs="Times New Roman" w:eastAsiaTheme="minorEastAsia"/>
              <w:kern w:val="2"/>
              <w:sz w:val="24"/>
              <w:szCs w:val="24"/>
              <w:lang w:eastAsia="zh-CN"/>
              <w14:ligatures w14:val="standardContextual"/>
            </w:rPr>
          </w:pPr>
          <w:r>
            <w:fldChar w:fldCharType="begin"/>
          </w:r>
          <w:r>
            <w:instrText xml:space="preserve"> HYPERLINK \l "_Toc194397102" \h </w:instrText>
          </w:r>
          <w:r>
            <w:fldChar w:fldCharType="separate"/>
          </w:r>
          <w:r>
            <w:rPr>
              <w:rStyle w:val="60"/>
              <w:rFonts w:ascii="Times New Roman" w:hAnsi="Times New Roman" w:cs="Times New Roman"/>
            </w:rPr>
            <w:t>6. LEVANTAMENTO DE MERCADO E JUSTIFICATIVA DA ESCOLHA DO TIPO DE SOLUÇÃO A CONTRATAR (art. 18º, §1º, INCISO “V”)</w:t>
          </w:r>
          <w:r>
            <w:t xml:space="preserve"> </w:t>
          </w:r>
          <w:r>
            <w:rPr>
              <w:rStyle w:val="60"/>
              <w:rFonts w:ascii="Times New Roman" w:hAnsi="Times New Roman" w:cs="Times New Roman"/>
            </w:rPr>
            <w:t>...............................................................................................................</w:t>
          </w:r>
          <w:r>
            <w:rPr>
              <w:rFonts w:ascii="Times New Roman" w:hAnsi="Times New Roman" w:cs="Times New Roman"/>
            </w:rPr>
            <w:fldChar w:fldCharType="begin"/>
          </w:r>
          <w:r>
            <w:rPr>
              <w:rFonts w:ascii="Times New Roman" w:hAnsi="Times New Roman" w:cs="Times New Roman"/>
            </w:rPr>
            <w:instrText xml:space="preserve">PAGEREF _Toc194397102 \h</w:instrText>
          </w:r>
          <w:r>
            <w:rPr>
              <w:rFonts w:ascii="Times New Roman" w:hAnsi="Times New Roman" w:cs="Times New Roman"/>
            </w:rPr>
            <w:fldChar w:fldCharType="separate"/>
          </w:r>
          <w:r>
            <w:rPr>
              <w:rFonts w:ascii="Times New Roman" w:hAnsi="Times New Roman" w:cs="Times New Roman"/>
            </w:rPr>
            <w:t>9</w:t>
          </w:r>
          <w:r>
            <w:rPr>
              <w:rFonts w:ascii="Times New Roman" w:hAnsi="Times New Roman" w:cs="Times New Roman"/>
            </w:rPr>
            <w:fldChar w:fldCharType="end"/>
          </w:r>
          <w:r>
            <w:rPr>
              <w:rFonts w:ascii="Times New Roman" w:hAnsi="Times New Roman" w:cs="Times New Roman"/>
            </w:rPr>
            <w:fldChar w:fldCharType="end"/>
          </w:r>
        </w:p>
        <w:p w14:paraId="37617756">
          <w:pPr>
            <w:pStyle w:val="29"/>
            <w:rPr>
              <w:rFonts w:ascii="Times New Roman" w:hAnsi="Times New Roman" w:cs="Times New Roman" w:eastAsiaTheme="minorEastAsia"/>
              <w:kern w:val="2"/>
              <w:sz w:val="24"/>
              <w:szCs w:val="24"/>
              <w:lang w:eastAsia="zh-CN"/>
              <w14:ligatures w14:val="standardContextual"/>
            </w:rPr>
          </w:pPr>
          <w:r>
            <w:fldChar w:fldCharType="begin"/>
          </w:r>
          <w:r>
            <w:instrText xml:space="preserve"> HYPERLINK \l "_Toc194397103" \h </w:instrText>
          </w:r>
          <w:r>
            <w:fldChar w:fldCharType="separate"/>
          </w:r>
          <w:r>
            <w:rPr>
              <w:rStyle w:val="60"/>
              <w:rFonts w:ascii="Times New Roman" w:hAnsi="Times New Roman" w:cs="Times New Roman"/>
            </w:rPr>
            <w:t>7. ESTIMATIVA DO VALOR DA CONTRATAÇÃO (art. 18º, §1º, INCISO “VI”)</w:t>
          </w:r>
          <w:r>
            <w:t xml:space="preserve"> </w:t>
          </w:r>
          <w:r>
            <w:rPr>
              <w:rStyle w:val="60"/>
              <w:rFonts w:ascii="Times New Roman" w:hAnsi="Times New Roman" w:cs="Times New Roman"/>
            </w:rPr>
            <w:t>..............................................</w:t>
          </w:r>
          <w:r>
            <w:rPr>
              <w:rFonts w:ascii="Times New Roman" w:hAnsi="Times New Roman" w:cs="Times New Roman"/>
            </w:rPr>
            <w:fldChar w:fldCharType="begin"/>
          </w:r>
          <w:r>
            <w:rPr>
              <w:rFonts w:ascii="Times New Roman" w:hAnsi="Times New Roman" w:cs="Times New Roman"/>
            </w:rPr>
            <w:instrText xml:space="preserve">PAGEREF _Toc194397103 \h</w:instrText>
          </w:r>
          <w:r>
            <w:rPr>
              <w:rFonts w:ascii="Times New Roman" w:hAnsi="Times New Roman" w:cs="Times New Roman"/>
            </w:rPr>
            <w:fldChar w:fldCharType="separate"/>
          </w:r>
          <w:r>
            <w:rPr>
              <w:rFonts w:ascii="Times New Roman" w:hAnsi="Times New Roman" w:cs="Times New Roman"/>
            </w:rPr>
            <w:t>10</w:t>
          </w:r>
          <w:r>
            <w:rPr>
              <w:rFonts w:ascii="Times New Roman" w:hAnsi="Times New Roman" w:cs="Times New Roman"/>
            </w:rPr>
            <w:fldChar w:fldCharType="end"/>
          </w:r>
          <w:r>
            <w:rPr>
              <w:rFonts w:ascii="Times New Roman" w:hAnsi="Times New Roman" w:cs="Times New Roman"/>
            </w:rPr>
            <w:fldChar w:fldCharType="end"/>
          </w:r>
        </w:p>
        <w:p w14:paraId="37617757">
          <w:pPr>
            <w:pStyle w:val="29"/>
            <w:rPr>
              <w:rFonts w:ascii="Times New Roman" w:hAnsi="Times New Roman" w:cs="Times New Roman" w:eastAsiaTheme="minorEastAsia"/>
              <w:kern w:val="2"/>
              <w:sz w:val="24"/>
              <w:szCs w:val="24"/>
              <w:lang w:eastAsia="zh-CN"/>
              <w14:ligatures w14:val="standardContextual"/>
            </w:rPr>
          </w:pPr>
          <w:r>
            <w:fldChar w:fldCharType="begin"/>
          </w:r>
          <w:r>
            <w:instrText xml:space="preserve"> HYPERLINK \l "_Toc194397104" \h </w:instrText>
          </w:r>
          <w:r>
            <w:fldChar w:fldCharType="separate"/>
          </w:r>
          <w:r>
            <w:rPr>
              <w:rStyle w:val="60"/>
              <w:rFonts w:ascii="Times New Roman" w:hAnsi="Times New Roman" w:cs="Times New Roman"/>
            </w:rPr>
            <w:t>8. DESCRIÇÃO DA SOLUÇÃO COMO UM TODO (art. 18º, §1º, INCISO “VII”)</w:t>
          </w:r>
          <w:r>
            <w:t xml:space="preserve"> </w:t>
          </w:r>
          <w:r>
            <w:rPr>
              <w:rStyle w:val="60"/>
              <w:rFonts w:ascii="Times New Roman" w:hAnsi="Times New Roman" w:cs="Times New Roman"/>
            </w:rPr>
            <w:t>...............................................</w:t>
          </w:r>
          <w:r>
            <w:rPr>
              <w:rFonts w:ascii="Times New Roman" w:hAnsi="Times New Roman" w:cs="Times New Roman"/>
            </w:rPr>
            <w:fldChar w:fldCharType="begin"/>
          </w:r>
          <w:r>
            <w:rPr>
              <w:rFonts w:ascii="Times New Roman" w:hAnsi="Times New Roman" w:cs="Times New Roman"/>
            </w:rPr>
            <w:instrText xml:space="preserve">PAGEREF _Toc194397104 \h</w:instrText>
          </w:r>
          <w:r>
            <w:rPr>
              <w:rFonts w:ascii="Times New Roman" w:hAnsi="Times New Roman" w:cs="Times New Roman"/>
            </w:rPr>
            <w:fldChar w:fldCharType="separate"/>
          </w:r>
          <w:r>
            <w:rPr>
              <w:rFonts w:ascii="Times New Roman" w:hAnsi="Times New Roman" w:cs="Times New Roman"/>
            </w:rPr>
            <w:t>11</w:t>
          </w:r>
          <w:r>
            <w:rPr>
              <w:rFonts w:ascii="Times New Roman" w:hAnsi="Times New Roman" w:cs="Times New Roman"/>
            </w:rPr>
            <w:fldChar w:fldCharType="end"/>
          </w:r>
          <w:r>
            <w:rPr>
              <w:rFonts w:ascii="Times New Roman" w:hAnsi="Times New Roman" w:cs="Times New Roman"/>
            </w:rPr>
            <w:fldChar w:fldCharType="end"/>
          </w:r>
        </w:p>
        <w:p w14:paraId="37617758">
          <w:pPr>
            <w:pStyle w:val="29"/>
            <w:rPr>
              <w:rFonts w:ascii="Times New Roman" w:hAnsi="Times New Roman" w:cs="Times New Roman" w:eastAsiaTheme="minorEastAsia"/>
              <w:kern w:val="2"/>
              <w:sz w:val="24"/>
              <w:szCs w:val="24"/>
              <w:lang w:eastAsia="zh-CN"/>
              <w14:ligatures w14:val="standardContextual"/>
            </w:rPr>
          </w:pPr>
          <w:r>
            <w:fldChar w:fldCharType="begin"/>
          </w:r>
          <w:r>
            <w:instrText xml:space="preserve"> HYPERLINK \l "_Toc194397105" \h </w:instrText>
          </w:r>
          <w:r>
            <w:fldChar w:fldCharType="separate"/>
          </w:r>
          <w:r>
            <w:rPr>
              <w:rStyle w:val="60"/>
              <w:rFonts w:ascii="Times New Roman" w:hAnsi="Times New Roman" w:cs="Times New Roman"/>
            </w:rPr>
            <w:t>9. JUSTIFICATIVA PARA O PARCELAMENTO OU NÃO DA SOLUÇÃO (art. 18º, §1º, INCISO “VIII”)........</w:t>
          </w:r>
          <w:r>
            <w:rPr>
              <w:rFonts w:ascii="Times New Roman" w:hAnsi="Times New Roman" w:cs="Times New Roman"/>
            </w:rPr>
            <w:fldChar w:fldCharType="begin"/>
          </w:r>
          <w:r>
            <w:rPr>
              <w:rFonts w:ascii="Times New Roman" w:hAnsi="Times New Roman" w:cs="Times New Roman"/>
            </w:rPr>
            <w:instrText xml:space="preserve">PAGEREF _Toc194397105 \h</w:instrText>
          </w:r>
          <w:r>
            <w:rPr>
              <w:rFonts w:ascii="Times New Roman" w:hAnsi="Times New Roman" w:cs="Times New Roman"/>
            </w:rPr>
            <w:fldChar w:fldCharType="separate"/>
          </w:r>
          <w:r>
            <w:rPr>
              <w:rFonts w:ascii="Times New Roman" w:hAnsi="Times New Roman" w:cs="Times New Roman"/>
            </w:rPr>
            <w:t>11</w:t>
          </w:r>
          <w:r>
            <w:rPr>
              <w:rFonts w:ascii="Times New Roman" w:hAnsi="Times New Roman" w:cs="Times New Roman"/>
            </w:rPr>
            <w:fldChar w:fldCharType="end"/>
          </w:r>
          <w:r>
            <w:rPr>
              <w:rFonts w:ascii="Times New Roman" w:hAnsi="Times New Roman" w:cs="Times New Roman"/>
            </w:rPr>
            <w:fldChar w:fldCharType="end"/>
          </w:r>
        </w:p>
        <w:p w14:paraId="37617759">
          <w:pPr>
            <w:pStyle w:val="29"/>
            <w:rPr>
              <w:rFonts w:ascii="Times New Roman" w:hAnsi="Times New Roman" w:cs="Times New Roman" w:eastAsiaTheme="minorEastAsia"/>
              <w:kern w:val="2"/>
              <w:sz w:val="24"/>
              <w:szCs w:val="24"/>
              <w:lang w:eastAsia="zh-CN"/>
              <w14:ligatures w14:val="standardContextual"/>
            </w:rPr>
          </w:pPr>
          <w:r>
            <w:fldChar w:fldCharType="begin"/>
          </w:r>
          <w:r>
            <w:instrText xml:space="preserve"> HYPERLINK \l "_Toc194397106" \h </w:instrText>
          </w:r>
          <w:r>
            <w:fldChar w:fldCharType="separate"/>
          </w:r>
          <w:r>
            <w:rPr>
              <w:rStyle w:val="60"/>
              <w:rFonts w:ascii="Times New Roman" w:hAnsi="Times New Roman" w:cs="Times New Roman"/>
            </w:rPr>
            <w:t>10. DEMONSTRATIVO DOS RESULTADOS PRETENDIDOS (art. 18º, §1º, INCISO “IX”)...............................</w:t>
          </w:r>
          <w:r>
            <w:rPr>
              <w:rFonts w:ascii="Times New Roman" w:hAnsi="Times New Roman" w:cs="Times New Roman"/>
            </w:rPr>
            <w:fldChar w:fldCharType="begin"/>
          </w:r>
          <w:r>
            <w:rPr>
              <w:rFonts w:ascii="Times New Roman" w:hAnsi="Times New Roman" w:cs="Times New Roman"/>
            </w:rPr>
            <w:instrText xml:space="preserve">PAGEREF _Toc194397106 \h</w:instrText>
          </w:r>
          <w:r>
            <w:rPr>
              <w:rFonts w:ascii="Times New Roman" w:hAnsi="Times New Roman" w:cs="Times New Roman"/>
            </w:rPr>
            <w:fldChar w:fldCharType="separate"/>
          </w:r>
          <w:r>
            <w:rPr>
              <w:rFonts w:ascii="Times New Roman" w:hAnsi="Times New Roman" w:cs="Times New Roman"/>
            </w:rPr>
            <w:t>12</w:t>
          </w:r>
          <w:r>
            <w:rPr>
              <w:rFonts w:ascii="Times New Roman" w:hAnsi="Times New Roman" w:cs="Times New Roman"/>
            </w:rPr>
            <w:fldChar w:fldCharType="end"/>
          </w:r>
          <w:r>
            <w:rPr>
              <w:rFonts w:ascii="Times New Roman" w:hAnsi="Times New Roman" w:cs="Times New Roman"/>
            </w:rPr>
            <w:fldChar w:fldCharType="end"/>
          </w:r>
        </w:p>
        <w:p w14:paraId="3761775A">
          <w:pPr>
            <w:pStyle w:val="29"/>
            <w:rPr>
              <w:rFonts w:ascii="Times New Roman" w:hAnsi="Times New Roman" w:cs="Times New Roman" w:eastAsiaTheme="minorEastAsia"/>
              <w:kern w:val="2"/>
              <w:sz w:val="24"/>
              <w:szCs w:val="24"/>
              <w:lang w:eastAsia="zh-CN"/>
              <w14:ligatures w14:val="standardContextual"/>
            </w:rPr>
          </w:pPr>
          <w:r>
            <w:fldChar w:fldCharType="begin"/>
          </w:r>
          <w:r>
            <w:instrText xml:space="preserve"> HYPERLINK \l "_Toc194397107" \h </w:instrText>
          </w:r>
          <w:r>
            <w:fldChar w:fldCharType="separate"/>
          </w:r>
          <w:r>
            <w:rPr>
              <w:rStyle w:val="60"/>
              <w:rFonts w:ascii="Times New Roman" w:hAnsi="Times New Roman" w:cs="Times New Roman"/>
            </w:rPr>
            <w:t xml:space="preserve">11. </w:t>
          </w:r>
          <w:r>
            <w:rPr>
              <w:rStyle w:val="60"/>
              <w:rFonts w:ascii="Times New Roman" w:hAnsi="Times New Roman" w:cs="Times New Roman"/>
              <w:bCs/>
            </w:rPr>
            <w:t>PROVIDÊNCIAS A SEREM ADOTADAS PELA ADMINISTRAÇÃO PREVIAMENTE A CELEBRAÇÃO DO CONTRATO</w:t>
          </w:r>
          <w:r>
            <w:rPr>
              <w:rStyle w:val="60"/>
              <w:rFonts w:ascii="Times New Roman" w:hAnsi="Times New Roman" w:cs="Times New Roman"/>
            </w:rPr>
            <w:t xml:space="preserve"> (art. 18º, §1º, INCISO “X”).............................................................................................................</w:t>
          </w:r>
          <w:r>
            <w:rPr>
              <w:rFonts w:ascii="Times New Roman" w:hAnsi="Times New Roman" w:cs="Times New Roman"/>
            </w:rPr>
            <w:fldChar w:fldCharType="begin"/>
          </w:r>
          <w:r>
            <w:rPr>
              <w:rFonts w:ascii="Times New Roman" w:hAnsi="Times New Roman" w:cs="Times New Roman"/>
            </w:rPr>
            <w:instrText xml:space="preserve">PAGEREF _Toc194397107 \h</w:instrText>
          </w:r>
          <w:r>
            <w:rPr>
              <w:rFonts w:ascii="Times New Roman" w:hAnsi="Times New Roman" w:cs="Times New Roman"/>
            </w:rPr>
            <w:fldChar w:fldCharType="separate"/>
          </w:r>
          <w:r>
            <w:rPr>
              <w:rFonts w:ascii="Times New Roman" w:hAnsi="Times New Roman" w:cs="Times New Roman"/>
            </w:rPr>
            <w:t>13</w:t>
          </w:r>
          <w:r>
            <w:rPr>
              <w:rFonts w:ascii="Times New Roman" w:hAnsi="Times New Roman" w:cs="Times New Roman"/>
            </w:rPr>
            <w:fldChar w:fldCharType="end"/>
          </w:r>
          <w:r>
            <w:rPr>
              <w:rFonts w:ascii="Times New Roman" w:hAnsi="Times New Roman" w:cs="Times New Roman"/>
            </w:rPr>
            <w:fldChar w:fldCharType="end"/>
          </w:r>
        </w:p>
        <w:p w14:paraId="3761775B">
          <w:pPr>
            <w:pStyle w:val="29"/>
            <w:rPr>
              <w:rFonts w:ascii="Times New Roman" w:hAnsi="Times New Roman" w:cs="Times New Roman" w:eastAsiaTheme="minorEastAsia"/>
              <w:kern w:val="2"/>
              <w:sz w:val="24"/>
              <w:szCs w:val="24"/>
              <w:lang w:eastAsia="zh-CN"/>
              <w14:ligatures w14:val="standardContextual"/>
            </w:rPr>
          </w:pPr>
          <w:r>
            <w:fldChar w:fldCharType="begin"/>
          </w:r>
          <w:r>
            <w:instrText xml:space="preserve"> HYPERLINK \l "_Toc194397108" \h </w:instrText>
          </w:r>
          <w:r>
            <w:fldChar w:fldCharType="separate"/>
          </w:r>
          <w:r>
            <w:rPr>
              <w:rStyle w:val="60"/>
              <w:rFonts w:ascii="Times New Roman" w:hAnsi="Times New Roman" w:cs="Times New Roman"/>
            </w:rPr>
            <w:t>12. CONTRATAÇÕES CORRELATAS E/OU INTERDEPENDENTES (art. 18º, §1º, INCISO “XI”)...................</w:t>
          </w:r>
          <w:r>
            <w:rPr>
              <w:rFonts w:ascii="Times New Roman" w:hAnsi="Times New Roman" w:cs="Times New Roman"/>
            </w:rPr>
            <w:fldChar w:fldCharType="begin"/>
          </w:r>
          <w:r>
            <w:rPr>
              <w:rFonts w:ascii="Times New Roman" w:hAnsi="Times New Roman" w:cs="Times New Roman"/>
            </w:rPr>
            <w:instrText xml:space="preserve">PAGEREF _Toc194397108 \h</w:instrText>
          </w:r>
          <w:r>
            <w:rPr>
              <w:rFonts w:ascii="Times New Roman" w:hAnsi="Times New Roman" w:cs="Times New Roman"/>
            </w:rPr>
            <w:fldChar w:fldCharType="separate"/>
          </w:r>
          <w:r>
            <w:rPr>
              <w:rFonts w:ascii="Times New Roman" w:hAnsi="Times New Roman" w:cs="Times New Roman"/>
            </w:rPr>
            <w:t>14</w:t>
          </w:r>
          <w:r>
            <w:rPr>
              <w:rFonts w:ascii="Times New Roman" w:hAnsi="Times New Roman" w:cs="Times New Roman"/>
            </w:rPr>
            <w:fldChar w:fldCharType="end"/>
          </w:r>
          <w:r>
            <w:rPr>
              <w:rFonts w:ascii="Times New Roman" w:hAnsi="Times New Roman" w:cs="Times New Roman"/>
            </w:rPr>
            <w:fldChar w:fldCharType="end"/>
          </w:r>
        </w:p>
        <w:p w14:paraId="3761775C">
          <w:pPr>
            <w:pStyle w:val="29"/>
            <w:rPr>
              <w:rFonts w:ascii="Times New Roman" w:hAnsi="Times New Roman" w:cs="Times New Roman" w:eastAsiaTheme="minorEastAsia"/>
              <w:kern w:val="2"/>
              <w:sz w:val="24"/>
              <w:szCs w:val="24"/>
              <w:lang w:eastAsia="zh-CN"/>
              <w14:ligatures w14:val="standardContextual"/>
            </w:rPr>
          </w:pPr>
          <w:r>
            <w:fldChar w:fldCharType="begin"/>
          </w:r>
          <w:r>
            <w:instrText xml:space="preserve"> HYPERLINK \l "_Toc194397109" \h </w:instrText>
          </w:r>
          <w:r>
            <w:fldChar w:fldCharType="separate"/>
          </w:r>
          <w:r>
            <w:rPr>
              <w:rStyle w:val="60"/>
              <w:rFonts w:ascii="Times New Roman" w:hAnsi="Times New Roman" w:cs="Times New Roman"/>
            </w:rPr>
            <w:t>13. DESCRIÇÃO DE POSSÍVEIS IMPACTOS AMBIENTAIS (art. 18º, §1º, INCISO “XII”)................................</w:t>
          </w:r>
          <w:r>
            <w:rPr>
              <w:rFonts w:ascii="Times New Roman" w:hAnsi="Times New Roman" w:cs="Times New Roman"/>
            </w:rPr>
            <w:fldChar w:fldCharType="begin"/>
          </w:r>
          <w:r>
            <w:rPr>
              <w:rFonts w:ascii="Times New Roman" w:hAnsi="Times New Roman" w:cs="Times New Roman"/>
            </w:rPr>
            <w:instrText xml:space="preserve">PAGEREF _Toc194397109 \h</w:instrText>
          </w:r>
          <w:r>
            <w:rPr>
              <w:rFonts w:ascii="Times New Roman" w:hAnsi="Times New Roman" w:cs="Times New Roman"/>
            </w:rPr>
            <w:fldChar w:fldCharType="separate"/>
          </w:r>
          <w:r>
            <w:rPr>
              <w:rFonts w:ascii="Times New Roman" w:hAnsi="Times New Roman" w:cs="Times New Roman"/>
            </w:rPr>
            <w:t>14</w:t>
          </w:r>
          <w:r>
            <w:rPr>
              <w:rFonts w:ascii="Times New Roman" w:hAnsi="Times New Roman" w:cs="Times New Roman"/>
            </w:rPr>
            <w:fldChar w:fldCharType="end"/>
          </w:r>
          <w:r>
            <w:rPr>
              <w:rFonts w:ascii="Times New Roman" w:hAnsi="Times New Roman" w:cs="Times New Roman"/>
            </w:rPr>
            <w:fldChar w:fldCharType="end"/>
          </w:r>
        </w:p>
        <w:p w14:paraId="3761775D">
          <w:pPr>
            <w:pStyle w:val="29"/>
            <w:rPr>
              <w:rFonts w:ascii="Times New Roman" w:hAnsi="Times New Roman" w:cs="Times New Roman" w:eastAsiaTheme="minorEastAsia"/>
              <w:kern w:val="2"/>
              <w:sz w:val="24"/>
              <w:szCs w:val="24"/>
              <w:lang w:eastAsia="zh-CN"/>
              <w14:ligatures w14:val="standardContextual"/>
            </w:rPr>
          </w:pPr>
          <w:r>
            <w:fldChar w:fldCharType="begin"/>
          </w:r>
          <w:r>
            <w:instrText xml:space="preserve"> HYPERLINK \l "_Toc194397110" \h </w:instrText>
          </w:r>
          <w:r>
            <w:fldChar w:fldCharType="separate"/>
          </w:r>
          <w:r>
            <w:rPr>
              <w:rStyle w:val="60"/>
              <w:rFonts w:ascii="Times New Roman" w:hAnsi="Times New Roman" w:cs="Times New Roman"/>
            </w:rPr>
            <w:t>14. POSICIONAMENTO CONCLUSIVO SOBRE A VIABILIDADE DA CONTRATAÇÃO (art. 18º, §1º, INCISO “XIII”)..........................................................................................................................................................................</w:t>
          </w:r>
          <w:r>
            <w:rPr>
              <w:rFonts w:ascii="Times New Roman" w:hAnsi="Times New Roman" w:cs="Times New Roman"/>
            </w:rPr>
            <w:fldChar w:fldCharType="begin"/>
          </w:r>
          <w:r>
            <w:rPr>
              <w:rFonts w:ascii="Times New Roman" w:hAnsi="Times New Roman" w:cs="Times New Roman"/>
            </w:rPr>
            <w:instrText xml:space="preserve">PAGEREF _Toc194397110 \h</w:instrText>
          </w:r>
          <w:r>
            <w:rPr>
              <w:rFonts w:ascii="Times New Roman" w:hAnsi="Times New Roman" w:cs="Times New Roman"/>
            </w:rPr>
            <w:fldChar w:fldCharType="separate"/>
          </w:r>
          <w:r>
            <w:rPr>
              <w:rFonts w:ascii="Times New Roman" w:hAnsi="Times New Roman" w:cs="Times New Roman"/>
            </w:rPr>
            <w:t>15</w:t>
          </w:r>
          <w:r>
            <w:rPr>
              <w:rFonts w:ascii="Times New Roman" w:hAnsi="Times New Roman" w:cs="Times New Roman"/>
            </w:rPr>
            <w:fldChar w:fldCharType="end"/>
          </w:r>
          <w:r>
            <w:rPr>
              <w:rFonts w:ascii="Times New Roman" w:hAnsi="Times New Roman" w:cs="Times New Roman"/>
            </w:rPr>
            <w:fldChar w:fldCharType="end"/>
          </w:r>
        </w:p>
        <w:p w14:paraId="3761775E">
          <w:pPr>
            <w:spacing w:line="360" w:lineRule="auto"/>
            <w:rPr>
              <w:rFonts w:ascii="Times New Roman" w:hAnsi="Times New Roman" w:cs="Times New Roman"/>
            </w:rPr>
          </w:pPr>
          <w:r>
            <w:rPr>
              <w:rFonts w:ascii="Times New Roman" w:hAnsi="Times New Roman" w:cs="Times New Roman"/>
            </w:rPr>
            <w:fldChar w:fldCharType="end"/>
          </w:r>
        </w:p>
      </w:sdtContent>
    </w:sdt>
    <w:p w14:paraId="3761775F">
      <w:pPr>
        <w:suppressAutoHyphens w:val="0"/>
        <w:spacing w:line="360" w:lineRule="auto"/>
        <w:rPr>
          <w:rFonts w:ascii="Times New Roman" w:hAnsi="Times New Roman" w:cs="Times New Roman"/>
          <w:b/>
          <w:bCs/>
          <w:sz w:val="24"/>
          <w:szCs w:val="24"/>
        </w:rPr>
      </w:pPr>
    </w:p>
    <w:p w14:paraId="37617760">
      <w:pPr>
        <w:tabs>
          <w:tab w:val="left" w:pos="1170"/>
        </w:tabs>
        <w:spacing w:line="360" w:lineRule="auto"/>
        <w:jc w:val="center"/>
        <w:rPr>
          <w:rFonts w:ascii="Times New Roman" w:hAnsi="Times New Roman" w:cs="Times New Roman"/>
          <w:b/>
          <w:bCs/>
          <w:sz w:val="36"/>
          <w:szCs w:val="36"/>
        </w:rPr>
      </w:pPr>
    </w:p>
    <w:p w14:paraId="37617761">
      <w:pPr>
        <w:suppressAutoHyphens w:val="0"/>
        <w:spacing w:line="360" w:lineRule="auto"/>
        <w:rPr>
          <w:rFonts w:ascii="Times New Roman" w:hAnsi="Times New Roman" w:cs="Times New Roman"/>
          <w:b/>
          <w:bCs/>
          <w:sz w:val="24"/>
          <w:szCs w:val="24"/>
        </w:rPr>
      </w:pPr>
      <w:r>
        <w:rPr>
          <w:rFonts w:ascii="Times New Roman" w:hAnsi="Times New Roman" w:cs="Times New Roman"/>
        </w:rPr>
        <w:br w:type="page"/>
      </w:r>
    </w:p>
    <w:tbl>
      <w:tblPr>
        <w:tblStyle w:val="79"/>
        <w:tblW w:w="10366" w:type="dxa"/>
        <w:tblInd w:w="0" w:type="dxa"/>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Layout w:type="fixed"/>
        <w:tblCellMar>
          <w:top w:w="0" w:type="dxa"/>
          <w:left w:w="108" w:type="dxa"/>
          <w:bottom w:w="0" w:type="dxa"/>
          <w:right w:w="108" w:type="dxa"/>
        </w:tblCellMar>
      </w:tblPr>
      <w:tblGrid>
        <w:gridCol w:w="10366"/>
      </w:tblGrid>
      <w:tr w14:paraId="37617763">
        <w:tblPrEx>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CellMar>
            <w:top w:w="0" w:type="dxa"/>
            <w:left w:w="108" w:type="dxa"/>
            <w:bottom w:w="0" w:type="dxa"/>
            <w:right w:w="108" w:type="dxa"/>
          </w:tblCellMar>
        </w:tblPrEx>
        <w:trPr>
          <w:trHeight w:val="367" w:hRule="atLeast"/>
        </w:trPr>
        <w:tc>
          <w:tcPr>
            <w:tcW w:w="10366" w:type="dxa"/>
            <w:shd w:val="clear" w:color="auto" w:fill="D0CECE" w:themeFill="background2" w:themeFillShade="E6"/>
            <w:vAlign w:val="center"/>
          </w:tcPr>
          <w:p w14:paraId="37617762">
            <w:pPr>
              <w:pStyle w:val="21"/>
              <w:pageBreakBefore/>
              <w:spacing w:line="360" w:lineRule="auto"/>
              <w:rPr>
                <w:rFonts w:ascii="Times New Roman" w:hAnsi="Times New Roman" w:cs="Times New Roman"/>
              </w:rPr>
            </w:pPr>
            <w:bookmarkStart w:id="0" w:name="_Toc194397097"/>
            <w:r>
              <w:rPr>
                <w:rFonts w:ascii="Times New Roman" w:hAnsi="Times New Roman" w:cs="Times New Roman"/>
              </w:rPr>
              <w:t xml:space="preserve">1. </w:t>
            </w:r>
            <w:bookmarkEnd w:id="0"/>
            <w:r>
              <w:rPr>
                <w:rFonts w:ascii="Times New Roman" w:hAnsi="Times New Roman" w:cs="Times New Roman"/>
              </w:rPr>
              <w:t>INTRODUÇÃO</w:t>
            </w:r>
          </w:p>
        </w:tc>
      </w:tr>
    </w:tbl>
    <w:p w14:paraId="37617764">
      <w:pPr>
        <w:pStyle w:val="70"/>
        <w:spacing w:line="360" w:lineRule="auto"/>
        <w:rPr>
          <w:rFonts w:ascii="Times New Roman" w:hAnsi="Times New Roman" w:cs="Times New Roman"/>
          <w:lang w:val="pt-BR"/>
        </w:rPr>
      </w:pPr>
    </w:p>
    <w:p w14:paraId="37617765">
      <w:pPr>
        <w:pStyle w:val="70"/>
        <w:spacing w:line="360" w:lineRule="auto"/>
        <w:ind w:firstLine="720"/>
        <w:jc w:val="both"/>
        <w:rPr>
          <w:rFonts w:ascii="Times New Roman" w:hAnsi="Times New Roman" w:cs="Times New Roman"/>
        </w:rPr>
      </w:pPr>
      <w:r>
        <w:rPr>
          <w:rFonts w:ascii="Times New Roman" w:hAnsi="Times New Roman" w:cs="Times New Roman"/>
          <w:lang w:val="pt-BR"/>
        </w:rPr>
        <w:tab/>
      </w:r>
      <w:r>
        <w:rPr>
          <w:rFonts w:ascii="Times New Roman" w:hAnsi="Times New Roman" w:cs="Times New Roman"/>
        </w:rPr>
        <w:t>O presente Estudo Técnico Preliminar (ETP) tem como finalidade apresentar os elementos técnicos, justificativas e requisitos necessários para a contratação de empresa especializada visando à execução da obra remanescente de construção de uma Unidade Básica de Saúde (UBS) de Porte I, localizada no Bairro Jardim Nossa Senhora da Glória, na Rua dos Artistas, nº 1220, no município de Rondonópolis – MT. Este documento constitui etapa inicial e essencial da fase de planejamento, subsidiando a adequada definição do objeto a ser contratado e orientando a tomada de decisões de forma eficiente, transparente e alinhada ao interesse público.</w:t>
      </w:r>
    </w:p>
    <w:p w14:paraId="37617766">
      <w:pPr>
        <w:pStyle w:val="70"/>
        <w:spacing w:line="360" w:lineRule="auto"/>
        <w:ind w:firstLine="720"/>
        <w:jc w:val="both"/>
        <w:rPr>
          <w:rFonts w:ascii="Times New Roman" w:hAnsi="Times New Roman" w:cs="Times New Roman"/>
        </w:rPr>
      </w:pPr>
      <w:r>
        <w:rPr>
          <w:rFonts w:ascii="Times New Roman" w:hAnsi="Times New Roman" w:cs="Times New Roman"/>
        </w:rPr>
        <w:t>A presente intervenção refere-se à retomada e conclusão de obra anteriormente iniciada, cuja paralisação comprometeu a disponibilização de infraestrutura adequada à prestação dos serviços de saúde. A conclusão da unidade visa ampliar e qualificar a oferta de atendimento à população local, contribuindo para a descentralização dos serviços, melhoria do acesso da comunidade aos atendimentos básicos e fortalecimento da atenção primária à saúde, considerando que a Unidade Básica de Saúde (UBS) constitui a principal porta de entrada do sistema público de saúde.</w:t>
      </w:r>
    </w:p>
    <w:p w14:paraId="37617767">
      <w:pPr>
        <w:pStyle w:val="70"/>
        <w:spacing w:line="360" w:lineRule="auto"/>
        <w:ind w:firstLine="720"/>
        <w:jc w:val="both"/>
        <w:rPr>
          <w:rFonts w:ascii="Times New Roman" w:hAnsi="Times New Roman" w:cs="Times New Roman"/>
        </w:rPr>
      </w:pPr>
      <w:r>
        <w:rPr>
          <w:rFonts w:ascii="Times New Roman" w:hAnsi="Times New Roman" w:cs="Times New Roman"/>
        </w:rPr>
        <w:t>O empreendimento será executado em conformidade com as normas técnicas vigentes, observando os princípios de acessibilidade, segurança, funcionalidade e sustentabilidade. A conclusão da UBS proporcionará melhores condições de trabalho às equipes de saúde, maior eficiência no atendimento à população e a adequada utilização dos recursos públicos, garantindo a entrega de um equipamento essencial compatível com as demandas identificadas por meio de levantamentos técnicos e das necessidades da comunidade local.</w:t>
      </w:r>
    </w:p>
    <w:p w14:paraId="37617768">
      <w:pPr>
        <w:pStyle w:val="70"/>
        <w:spacing w:line="360" w:lineRule="auto"/>
        <w:ind w:firstLine="720"/>
        <w:jc w:val="both"/>
        <w:rPr>
          <w:rFonts w:ascii="Times New Roman" w:hAnsi="Times New Roman" w:cs="Times New Roman"/>
          <w:b/>
          <w:bCs/>
          <w:lang w:val="pt-BR"/>
        </w:rPr>
      </w:pPr>
    </w:p>
    <w:p w14:paraId="37617769">
      <w:pPr>
        <w:pStyle w:val="70"/>
        <w:spacing w:line="360" w:lineRule="auto"/>
        <w:jc w:val="both"/>
        <w:rPr>
          <w:rFonts w:ascii="Times New Roman" w:hAnsi="Times New Roman" w:cs="Times New Roman"/>
          <w:b/>
          <w:bCs/>
          <w:lang w:val="pt-BR"/>
        </w:rPr>
      </w:pPr>
      <w:r>
        <w:rPr>
          <w:rFonts w:ascii="Times New Roman" w:hAnsi="Times New Roman" w:cs="Times New Roman"/>
          <w:b/>
          <w:bCs/>
          <w:lang w:val="pt-BR"/>
        </w:rPr>
        <w:t>I. OBJETO DO ESTUDO E ESPECIFICAÇÕES GERAIS</w:t>
      </w:r>
    </w:p>
    <w:p w14:paraId="3761776A">
      <w:pPr>
        <w:pStyle w:val="70"/>
        <w:spacing w:line="360" w:lineRule="auto"/>
        <w:jc w:val="both"/>
        <w:rPr>
          <w:rFonts w:ascii="Times New Roman" w:hAnsi="Times New Roman" w:cs="Times New Roman"/>
          <w:lang w:val="pt-BR"/>
        </w:rPr>
      </w:pPr>
    </w:p>
    <w:p w14:paraId="3761776B">
      <w:pPr>
        <w:spacing w:line="360" w:lineRule="auto"/>
        <w:ind w:firstLine="709"/>
        <w:jc w:val="both"/>
        <w:rPr>
          <w:rFonts w:ascii="Times New Roman" w:hAnsi="Times New Roman" w:cs="Times New Roman"/>
        </w:rPr>
      </w:pPr>
      <w:r>
        <w:rPr>
          <w:rFonts w:ascii="Times New Roman" w:hAnsi="Times New Roman" w:cs="Times New Roman"/>
        </w:rPr>
        <w:t>O presente Estudo Técnico Preliminar tem como objeto a análise da viabilidade para a conclusão da obra remanescente de uma Unidade Básica de Saúde (UBS) de Porte I no Município de Rondonópolis – MT, localizada no Bairro Jardim Nossa Senhora da Glória. A unidade de saúde tem por finalidade ampliar a capacidade de atendimento à população, ofertando serviços básicos de saúde aos moradores do referido bairro e áreas adjacentes.</w:t>
      </w:r>
    </w:p>
    <w:p w14:paraId="3761776C">
      <w:pPr>
        <w:spacing w:line="360" w:lineRule="auto"/>
        <w:ind w:firstLine="709"/>
        <w:jc w:val="both"/>
        <w:rPr>
          <w:rFonts w:ascii="Times New Roman" w:hAnsi="Times New Roman" w:cs="Times New Roman"/>
        </w:rPr>
      </w:pPr>
      <w:r>
        <w:rPr>
          <w:rFonts w:ascii="Times New Roman" w:hAnsi="Times New Roman" w:cs="Times New Roman"/>
        </w:rPr>
        <w:t>A solução proposta contempla a execução dos serviços remanescentes necessários à conclusão da unidade, com a implantação e/ou finalização de ambientes adequados às atividades assistenciais e administrativas, incluindo CME, sala de expurgo, banheiros masculino, feminino e para pessoas com deficiência (PCD), copa, Depósito de Material de Limpeza (DML), sala de curativos, consultório odontológico, consultório médico, consultório de enfermagem, sala de inalação e recepção, garantindo o atendimento integral às necessidades da atenção primária em saúde.</w:t>
      </w:r>
    </w:p>
    <w:p w14:paraId="3761776D">
      <w:pPr>
        <w:spacing w:line="360" w:lineRule="auto"/>
        <w:ind w:firstLine="709"/>
        <w:jc w:val="both"/>
        <w:rPr>
          <w:rFonts w:ascii="Times New Roman" w:hAnsi="Times New Roman" w:cs="Times New Roman"/>
        </w:rPr>
      </w:pPr>
      <w:r>
        <w:rPr>
          <w:rFonts w:ascii="Times New Roman" w:hAnsi="Times New Roman" w:cs="Times New Roman"/>
        </w:rPr>
        <w:t>A obra envolverá a execução e/ou complementação da infraestrutura existente, incluindo instalações hidráulicas e elétricas, esquadrias, sanitários, divisórias, revestimentos, pintura geral e demais sistemas construtivos necessários à plena funcionalidade da edificação, bem como a adoção de soluções que assegurem acessibilidade, segurança dos usuários e conforto ambiental, em conformidade com as normas técnicas vigentes.</w:t>
      </w:r>
    </w:p>
    <w:p w14:paraId="3761776E">
      <w:pPr>
        <w:spacing w:line="360" w:lineRule="auto"/>
        <w:ind w:firstLine="709"/>
        <w:jc w:val="both"/>
        <w:rPr>
          <w:rFonts w:ascii="Times New Roman" w:hAnsi="Times New Roman" w:cs="Times New Roman"/>
        </w:rPr>
      </w:pPr>
      <w:r>
        <w:rPr>
          <w:rFonts w:ascii="Times New Roman" w:hAnsi="Times New Roman" w:cs="Times New Roman"/>
        </w:rPr>
        <w:t>A conclusão da Unidade Básica de Saúde no Bairro Jardim Nossa Senhora da Glória tem como objetivo ampliar e qualificar o atendimento à população, proporcionando melhores condições de acesso aos serviços de saúde, adequação dos espaços às equipes multiprofissionais e fortalecimento da rede de atenção básica, contribuindo diretamente para a melhoria da qualidade de vida da comunidade atendida.</w:t>
      </w:r>
    </w:p>
    <w:p w14:paraId="3761776F">
      <w:pPr>
        <w:spacing w:line="360" w:lineRule="auto"/>
        <w:ind w:firstLine="709"/>
        <w:jc w:val="both"/>
        <w:rPr>
          <w:rFonts w:ascii="Times New Roman" w:hAnsi="Times New Roman" w:cs="Times New Roman"/>
        </w:rPr>
      </w:pPr>
    </w:p>
    <w:p w14:paraId="37617770">
      <w:pPr>
        <w:pStyle w:val="70"/>
        <w:spacing w:line="360" w:lineRule="auto"/>
        <w:jc w:val="both"/>
        <w:rPr>
          <w:rFonts w:ascii="Times New Roman" w:hAnsi="Times New Roman" w:cs="Times New Roman"/>
          <w:lang w:val="pt-BR"/>
        </w:rPr>
      </w:pPr>
      <w:r>
        <w:rPr>
          <w:rFonts w:ascii="Times New Roman" w:hAnsi="Times New Roman" w:cs="Times New Roman"/>
          <w:b/>
          <w:bCs/>
          <w:lang w:val="pt-BR"/>
        </w:rPr>
        <w:t>ll. LOCALIZAÇÃO DA EXECUÇÃO DO OBJETO CONTRATUAL</w:t>
      </w:r>
    </w:p>
    <w:p w14:paraId="37617771">
      <w:pPr>
        <w:pStyle w:val="70"/>
        <w:spacing w:line="360" w:lineRule="auto"/>
        <w:jc w:val="both"/>
        <w:rPr>
          <w:rFonts w:ascii="Times New Roman" w:hAnsi="Times New Roman" w:cs="Times New Roman"/>
        </w:rPr>
      </w:pPr>
    </w:p>
    <w:p w14:paraId="37617772">
      <w:pPr>
        <w:spacing w:line="360" w:lineRule="auto"/>
        <w:ind w:firstLine="709"/>
        <w:jc w:val="both"/>
        <w:rPr>
          <w:rFonts w:ascii="Times New Roman" w:hAnsi="Times New Roman" w:cs="Times New Roman"/>
          <w:lang w:val="pt-PT"/>
        </w:rPr>
      </w:pPr>
      <w:r>
        <w:rPr>
          <w:rFonts w:ascii="Times New Roman" w:hAnsi="Times New Roman" w:cs="Times New Roman"/>
          <w:lang w:val="pt-PT"/>
        </w:rPr>
        <w:tab/>
      </w:r>
      <w:r>
        <w:rPr>
          <w:rFonts w:ascii="Times New Roman" w:hAnsi="Times New Roman" w:cs="Times New Roman"/>
          <w:lang w:val="pt-PT"/>
        </w:rPr>
        <w:t>A obra sera executada no Municipio de Rondonopolis-MT, na Rua dos Artistas, N° 1220, no Bairro Jardim Nossa Senhora Glória. O terreno destinado à construção da possui uma área total de 600,00 m².</w:t>
      </w:r>
    </w:p>
    <w:p w14:paraId="37617773">
      <w:pPr>
        <w:spacing w:line="360" w:lineRule="auto"/>
        <w:ind w:firstLine="709"/>
        <w:jc w:val="both"/>
        <w:rPr>
          <w:rFonts w:ascii="Times New Roman" w:hAnsi="Times New Roman" w:cs="Times New Roman"/>
        </w:rPr>
      </w:pPr>
      <w:r>
        <w:rPr>
          <w:rFonts w:ascii="Times New Roman" w:hAnsi="Times New Roman" w:cs="Times New Roman"/>
          <w:lang w:val="pt-PT"/>
        </w:rPr>
        <w:t xml:space="preserve">A área esta situada na coordenada geografica 16°26'31.40"S  54°37'53.54"O, em região de fácil acesso e integrada à malha urbana local. </w:t>
      </w:r>
    </w:p>
    <w:p w14:paraId="37617774">
      <w:pPr>
        <w:pStyle w:val="70"/>
        <w:spacing w:line="360" w:lineRule="auto"/>
        <w:jc w:val="center"/>
        <w:rPr>
          <w:rFonts w:ascii="Times New Roman" w:hAnsi="Times New Roman" w:cs="Times New Roman"/>
          <w:sz w:val="20"/>
          <w:szCs w:val="20"/>
        </w:rPr>
      </w:pPr>
      <w:r>
        <w:rPr>
          <w:rFonts w:ascii="Times New Roman" w:hAnsi="Times New Roman" w:cs="Times New Roman"/>
          <w:b/>
          <w:bCs/>
          <w:sz w:val="20"/>
          <w:szCs w:val="20"/>
        </w:rPr>
        <w:t xml:space="preserve">Figura 1 </w:t>
      </w:r>
      <w:r>
        <w:rPr>
          <w:rFonts w:ascii="Times New Roman" w:hAnsi="Times New Roman" w:cs="Times New Roman"/>
          <w:sz w:val="20"/>
          <w:szCs w:val="20"/>
        </w:rPr>
        <w:t>– Localização da construção UBS.</w:t>
      </w:r>
    </w:p>
    <w:p w14:paraId="37617775">
      <w:pPr>
        <w:pStyle w:val="70"/>
        <w:spacing w:line="360" w:lineRule="auto"/>
        <w:jc w:val="center"/>
        <w:rPr>
          <w:rFonts w:ascii="Times New Roman" w:hAnsi="Times New Roman" w:cs="Times New Roman"/>
          <w:sz w:val="20"/>
          <w:szCs w:val="20"/>
        </w:rPr>
      </w:pPr>
      <w:r>
        <w:rPr>
          <w:rFonts w:ascii="Times New Roman" w:hAnsi="Times New Roman" w:cs="Times New Roman"/>
          <w:lang w:val="pt-BR"/>
        </w:rPr>
        <mc:AlternateContent>
          <mc:Choice Requires="wps">
            <w:drawing>
              <wp:anchor distT="0" distB="0" distL="114300" distR="114300" simplePos="0" relativeHeight="251663360" behindDoc="0" locked="0" layoutInCell="1" allowOverlap="1">
                <wp:simplePos x="0" y="0"/>
                <wp:positionH relativeFrom="column">
                  <wp:posOffset>2657475</wp:posOffset>
                </wp:positionH>
                <wp:positionV relativeFrom="paragraph">
                  <wp:posOffset>1784350</wp:posOffset>
                </wp:positionV>
                <wp:extent cx="1162050" cy="1600200"/>
                <wp:effectExtent l="76200" t="57150" r="76200" b="57150"/>
                <wp:wrapNone/>
                <wp:docPr id="1183237388" name="Retângulo 6"/>
                <wp:cNvGraphicFramePr/>
                <a:graphic xmlns:a="http://schemas.openxmlformats.org/drawingml/2006/main">
                  <a:graphicData uri="http://schemas.microsoft.com/office/word/2010/wordprocessingShape">
                    <wps:wsp>
                      <wps:cNvSpPr/>
                      <wps:spPr>
                        <a:xfrm rot="21406120">
                          <a:off x="0" y="0"/>
                          <a:ext cx="1162050" cy="1600200"/>
                        </a:xfrm>
                        <a:prstGeom prst="rect">
                          <a:avLst/>
                        </a:prstGeom>
                        <a:noFill/>
                        <a:ln w="38100">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Retângulo 6" o:spid="_x0000_s1026" o:spt="1" style="position:absolute;left:0pt;margin-left:209.25pt;margin-top:140.5pt;height:126pt;width:91.5pt;rotation:-211769f;z-index:251663360;v-text-anchor:middle;mso-width-relative:page;mso-height-relative:page;" filled="f" stroked="t" coordsize="21600,21600" o:gfxdata="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">
                <v:fill on="f" focussize="0,0"/>
                <v:stroke weight="3pt" color="#EE0000 [3204]" miterlimit="8" joinstyle="miter"/>
                <v:imagedata o:title=""/>
                <o:lock v:ext="edit" aspectratio="f"/>
              </v:rect>
            </w:pict>
          </mc:Fallback>
        </mc:AlternateContent>
      </w:r>
      <w:r>
        <w:rPr>
          <w:rFonts w:ascii="Times New Roman" w:hAnsi="Times New Roman" w:cs="Times New Roman"/>
          <w:sz w:val="20"/>
          <w:szCs w:val="20"/>
        </w:rPr>
        <w:drawing>
          <wp:inline distT="0" distB="0" distL="0" distR="0">
            <wp:extent cx="4213860" cy="3596640"/>
            <wp:effectExtent l="0" t="0" r="0" b="3810"/>
            <wp:docPr id="149861853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618539" name="Imagem 1"/>
                    <pic:cNvPicPr>
                      <a:picLocks noChangeAspect="1"/>
                    </pic:cNvPicPr>
                  </pic:nvPicPr>
                  <pic:blipFill>
                    <a:blip r:embed="rId10"/>
                    <a:stretch>
                      <a:fillRect/>
                    </a:stretch>
                  </pic:blipFill>
                  <pic:spPr>
                    <a:xfrm>
                      <a:off x="0" y="0"/>
                      <a:ext cx="4214225" cy="3596952"/>
                    </a:xfrm>
                    <a:prstGeom prst="rect">
                      <a:avLst/>
                    </a:prstGeom>
                  </pic:spPr>
                </pic:pic>
              </a:graphicData>
            </a:graphic>
          </wp:inline>
        </w:drawing>
      </w:r>
    </w:p>
    <w:p w14:paraId="37617776">
      <w:pPr>
        <w:spacing w:before="115"/>
        <w:ind w:right="53"/>
        <w:jc w:val="center"/>
        <w:rPr>
          <w:sz w:val="18"/>
        </w:rPr>
      </w:pPr>
      <w:r>
        <w:rPr>
          <w:sz w:val="18"/>
        </w:rPr>
        <w:t>Fonte: Google Maps,</w:t>
      </w:r>
      <w:r>
        <w:rPr>
          <w:spacing w:val="-1"/>
          <w:sz w:val="18"/>
        </w:rPr>
        <w:t xml:space="preserve"> </w:t>
      </w:r>
      <w:r>
        <w:rPr>
          <w:spacing w:val="-2"/>
          <w:sz w:val="18"/>
        </w:rPr>
        <w:t>2025.</w:t>
      </w:r>
    </w:p>
    <w:p w14:paraId="3761777A">
      <w:pPr>
        <w:pStyle w:val="70"/>
        <w:spacing w:line="360" w:lineRule="auto"/>
        <w:rPr>
          <w:rFonts w:ascii="Times New Roman" w:hAnsi="Times New Roman" w:cs="Times New Roman"/>
          <w:sz w:val="18"/>
          <w:szCs w:val="18"/>
          <w:lang w:val="pt-BR"/>
        </w:rPr>
      </w:pPr>
    </w:p>
    <w:p w14:paraId="3761777B">
      <w:pPr>
        <w:pStyle w:val="70"/>
        <w:spacing w:line="360" w:lineRule="auto"/>
        <w:jc w:val="right"/>
        <w:rPr>
          <w:rFonts w:ascii="Times New Roman" w:hAnsi="Times New Roman" w:cs="Times New Roman"/>
          <w:sz w:val="18"/>
          <w:szCs w:val="18"/>
          <w:lang w:val="pt-BR"/>
        </w:rPr>
      </w:pPr>
    </w:p>
    <w:p w14:paraId="3761777C">
      <w:pPr>
        <w:pStyle w:val="70"/>
        <w:spacing w:line="360" w:lineRule="auto"/>
        <w:jc w:val="both"/>
        <w:rPr>
          <w:rFonts w:ascii="Times New Roman" w:hAnsi="Times New Roman" w:cs="Times New Roman"/>
          <w:lang w:val="pt-BR"/>
        </w:rPr>
      </w:pPr>
      <w:r>
        <w:rPr>
          <w:rFonts w:ascii="Times New Roman" w:hAnsi="Times New Roman" w:cs="Times New Roman"/>
          <w:b/>
          <w:bCs/>
          <w:lang w:val="pt-BR"/>
        </w:rPr>
        <w:t>III. NATUREZA E FINALIDADE DO OBJETO CONTRATUAL</w:t>
      </w:r>
    </w:p>
    <w:p w14:paraId="3761777D">
      <w:pPr>
        <w:pStyle w:val="70"/>
        <w:spacing w:line="360" w:lineRule="auto"/>
        <w:jc w:val="both"/>
        <w:rPr>
          <w:rFonts w:ascii="Times New Roman" w:hAnsi="Times New Roman" w:cs="Times New Roman"/>
          <w:lang w:val="pt-BR"/>
        </w:rPr>
      </w:pPr>
    </w:p>
    <w:p w14:paraId="2D6F4B79">
      <w:pPr>
        <w:pStyle w:val="22"/>
        <w:keepNext w:val="0"/>
        <w:keepLines w:val="0"/>
        <w:widowControl/>
        <w:suppressLineNumbers w:val="0"/>
        <w:spacing w:beforeAutospacing="1" w:afterAutospacing="1" w:line="360" w:lineRule="auto"/>
        <w:jc w:val="both"/>
        <w:rPr>
          <w:sz w:val="22"/>
          <w:szCs w:val="22"/>
        </w:rPr>
      </w:pPr>
      <w:r>
        <w:rPr>
          <w:rFonts w:ascii="Times New Roman" w:hAnsi="Times New Roman" w:cs="Times New Roman"/>
          <w:lang w:val="pt-BR"/>
        </w:rPr>
        <w:tab/>
      </w:r>
      <w:r>
        <w:rPr>
          <w:sz w:val="22"/>
          <w:szCs w:val="22"/>
        </w:rPr>
        <w:t>O presente Estudo Técnico Preliminar trata da contratação de obra pública para a conclusão da obra remanescente de uma Unidade Básica de Saúde (UBS) de Porte I no município de Rondonópolis – MT, localizada no Bairro Jardim Nossa Senhora da Glória. A edificação visa à ampliação e qualificação da rede municipal de atenção básica à saúde, garantindo a adequada prestação dos serviços à população.</w:t>
      </w:r>
    </w:p>
    <w:p w14:paraId="499CAD3A">
      <w:pPr>
        <w:pStyle w:val="22"/>
        <w:keepNext w:val="0"/>
        <w:keepLines w:val="0"/>
        <w:widowControl/>
        <w:suppressLineNumbers w:val="0"/>
        <w:spacing w:beforeAutospacing="1" w:afterAutospacing="1" w:line="360" w:lineRule="auto"/>
        <w:ind w:firstLine="720" w:firstLineChars="0"/>
        <w:jc w:val="both"/>
        <w:rPr>
          <w:sz w:val="22"/>
          <w:szCs w:val="22"/>
        </w:rPr>
      </w:pPr>
      <w:r>
        <w:rPr>
          <w:sz w:val="22"/>
          <w:szCs w:val="22"/>
        </w:rPr>
        <w:t>Nos termos do Art. 6º, inciso XII, da Lei nº 14.133/2021, caracteriza-se como obra toda atividade que implica intervenção no meio ambiente, mediante um conjunto harmônico de ações que resultam na inovação do espaço físico ou na alteração substancial das características originais de bem imóvel. No presente caso, a execução dos serviços remanescentes necessários à conclusão da unidade enquadra-se como obra, tendo em vista a necessidade de intervenção direta na edificação existente para sua plena funcionalidade.</w:t>
      </w:r>
    </w:p>
    <w:p w14:paraId="254BF7E0">
      <w:pPr>
        <w:pStyle w:val="22"/>
        <w:keepNext w:val="0"/>
        <w:keepLines w:val="0"/>
        <w:widowControl/>
        <w:suppressLineNumbers w:val="0"/>
        <w:spacing w:beforeAutospacing="1" w:afterAutospacing="1" w:line="360" w:lineRule="auto"/>
        <w:ind w:firstLine="720" w:firstLineChars="0"/>
        <w:jc w:val="both"/>
        <w:rPr>
          <w:sz w:val="22"/>
          <w:szCs w:val="22"/>
        </w:rPr>
      </w:pPr>
      <w:r>
        <w:rPr>
          <w:sz w:val="22"/>
          <w:szCs w:val="22"/>
        </w:rPr>
        <w:t>Dessa forma, considerando que o objeto consiste na conclusão de uma edificação, englobando serviços integrados de engenharia, tais como estrutura, instalações elétricas, hidrossanitárias, climatização, acessibilidade, entre outros, conclui-se que a contratação se enquadra como</w:t>
      </w:r>
      <w:r>
        <w:rPr>
          <w:b/>
          <w:bCs/>
          <w:sz w:val="22"/>
          <w:szCs w:val="22"/>
        </w:rPr>
        <w:t xml:space="preserve"> </w:t>
      </w:r>
      <w:r>
        <w:rPr>
          <w:rStyle w:val="13"/>
          <w:b w:val="0"/>
          <w:bCs w:val="0"/>
          <w:sz w:val="22"/>
          <w:szCs w:val="22"/>
        </w:rPr>
        <w:t>obra de engenharia</w:t>
      </w:r>
      <w:r>
        <w:rPr>
          <w:b w:val="0"/>
          <w:bCs w:val="0"/>
          <w:sz w:val="22"/>
          <w:szCs w:val="22"/>
        </w:rPr>
        <w:t>.</w:t>
      </w:r>
    </w:p>
    <w:p w14:paraId="6AA6AA62">
      <w:pPr>
        <w:pStyle w:val="22"/>
        <w:keepNext w:val="0"/>
        <w:keepLines w:val="0"/>
        <w:widowControl/>
        <w:suppressLineNumbers w:val="0"/>
        <w:spacing w:beforeAutospacing="1" w:afterAutospacing="1" w:line="360" w:lineRule="auto"/>
        <w:ind w:firstLine="720" w:firstLineChars="0"/>
        <w:jc w:val="both"/>
        <w:rPr>
          <w:sz w:val="22"/>
          <w:szCs w:val="22"/>
        </w:rPr>
      </w:pPr>
      <w:r>
        <w:rPr>
          <w:sz w:val="22"/>
          <w:szCs w:val="22"/>
        </w:rPr>
        <w:t>Ressalta-se que, embora envolva a atuação de profissionais habilitados e a execução de serviços técnicos especializados, tais atividades são inerentes e indissociáveis à execução da obra, não caracterizando, portanto, um serviço especial de engenharia autônomo.</w:t>
      </w:r>
      <w:bookmarkStart w:id="15" w:name="_GoBack"/>
      <w:bookmarkEnd w:id="15"/>
    </w:p>
    <w:p w14:paraId="37617782">
      <w:pPr>
        <w:pStyle w:val="22"/>
        <w:keepNext w:val="0"/>
        <w:keepLines w:val="0"/>
        <w:widowControl/>
        <w:suppressLineNumbers w:val="0"/>
        <w:spacing w:beforeAutospacing="1" w:afterAutospacing="1" w:line="360" w:lineRule="auto"/>
        <w:ind w:firstLine="720" w:firstLineChars="0"/>
        <w:jc w:val="both"/>
        <w:rPr>
          <w:rFonts w:ascii="Times New Roman" w:hAnsi="Times New Roman" w:cs="Times New Roman"/>
          <w:lang w:val="pt-BR"/>
        </w:rPr>
      </w:pPr>
      <w:r>
        <w:rPr>
          <w:sz w:val="22"/>
          <w:szCs w:val="22"/>
        </w:rPr>
        <w:t xml:space="preserve">Portanto, a natureza do objeto é classificada como </w:t>
      </w:r>
      <w:r>
        <w:rPr>
          <w:rStyle w:val="13"/>
          <w:b w:val="0"/>
          <w:bCs w:val="0"/>
          <w:sz w:val="22"/>
          <w:szCs w:val="22"/>
        </w:rPr>
        <w:t>obra de engenharia</w:t>
      </w:r>
      <w:r>
        <w:rPr>
          <w:sz w:val="22"/>
          <w:szCs w:val="22"/>
        </w:rPr>
        <w:t>, tendo como finalidade a conclusão de uma unidade de saúde adequada, funcional e eficiente, apta a atender às demandas da população e contribuir para o fortalecimento dos serviços públicos de atenção básica no município.</w:t>
      </w:r>
    </w:p>
    <w:tbl>
      <w:tblPr>
        <w:tblStyle w:val="79"/>
        <w:tblW w:w="10366" w:type="dxa"/>
        <w:tblInd w:w="0" w:type="dxa"/>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Layout w:type="fixed"/>
        <w:tblCellMar>
          <w:top w:w="0" w:type="dxa"/>
          <w:left w:w="108" w:type="dxa"/>
          <w:bottom w:w="0" w:type="dxa"/>
          <w:right w:w="108" w:type="dxa"/>
        </w:tblCellMar>
      </w:tblPr>
      <w:tblGrid>
        <w:gridCol w:w="10366"/>
      </w:tblGrid>
      <w:tr w14:paraId="37617784">
        <w:tblPrEx>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CellMar>
            <w:top w:w="0" w:type="dxa"/>
            <w:left w:w="108" w:type="dxa"/>
            <w:bottom w:w="0" w:type="dxa"/>
            <w:right w:w="108" w:type="dxa"/>
          </w:tblCellMar>
        </w:tblPrEx>
        <w:trPr>
          <w:trHeight w:val="367" w:hRule="atLeast"/>
        </w:trPr>
        <w:tc>
          <w:tcPr>
            <w:tcW w:w="10366" w:type="dxa"/>
            <w:shd w:val="clear" w:color="auto" w:fill="D0CECE" w:themeFill="background2" w:themeFillShade="E6"/>
            <w:vAlign w:val="center"/>
          </w:tcPr>
          <w:p w14:paraId="37617783">
            <w:pPr>
              <w:pStyle w:val="21"/>
              <w:spacing w:line="360" w:lineRule="auto"/>
              <w:rPr>
                <w:rFonts w:ascii="Times New Roman" w:hAnsi="Times New Roman" w:cs="Times New Roman"/>
              </w:rPr>
            </w:pPr>
            <w:bookmarkStart w:id="1" w:name="_Toc194397098"/>
            <w:bookmarkStart w:id="2" w:name="_Toc193444195"/>
            <w:r>
              <w:rPr>
                <w:rFonts w:ascii="Times New Roman" w:hAnsi="Times New Roman" w:cs="Times New Roman"/>
              </w:rPr>
              <w:t>2. DEFINIÇÃO DO OBJETO (art. 18º, §1º, INCISO “I”)</w:t>
            </w:r>
            <w:bookmarkEnd w:id="1"/>
            <w:bookmarkEnd w:id="2"/>
          </w:p>
        </w:tc>
      </w:tr>
    </w:tbl>
    <w:p w14:paraId="37617785">
      <w:pPr>
        <w:pStyle w:val="70"/>
        <w:spacing w:line="360" w:lineRule="auto"/>
        <w:jc w:val="both"/>
        <w:rPr>
          <w:rFonts w:ascii="Times New Roman" w:hAnsi="Times New Roman" w:cs="Times New Roman"/>
          <w:lang w:val="pt-BR"/>
        </w:rPr>
      </w:pPr>
    </w:p>
    <w:p w14:paraId="37617786">
      <w:pPr>
        <w:spacing w:line="360" w:lineRule="auto"/>
        <w:ind w:left="2835" w:right="-1"/>
        <w:jc w:val="both"/>
        <w:rPr>
          <w:rFonts w:ascii="Times New Roman" w:hAnsi="Times New Roman" w:cs="Times New Roman"/>
          <w:sz w:val="18"/>
          <w:szCs w:val="14"/>
        </w:rPr>
      </w:pPr>
      <w:r>
        <w:rPr>
          <w:rFonts w:ascii="Times New Roman" w:hAnsi="Times New Roman" w:cs="Times New Roman"/>
          <w:b/>
          <w:bCs/>
          <w:sz w:val="18"/>
          <w:szCs w:val="14"/>
        </w:rPr>
        <w:t>Fundamentação:</w:t>
      </w:r>
      <w:r>
        <w:rPr>
          <w:rFonts w:ascii="Times New Roman" w:hAnsi="Times New Roman" w:cs="Times New Roman"/>
          <w:sz w:val="18"/>
          <w:szCs w:val="14"/>
        </w:rPr>
        <w:t xml:space="preserve"> Descrição da necessidade da contratação, considerado o problema a ser resolvido sob a perspectiva do interesse público. (Inciso I do § 1° do art. 18 da Lei 14.133/2021 e art. 9°, inciso I da IN 58/2022).</w:t>
      </w:r>
    </w:p>
    <w:p w14:paraId="37617787">
      <w:pPr>
        <w:spacing w:line="360" w:lineRule="auto"/>
        <w:ind w:left="2835" w:right="-1"/>
        <w:jc w:val="both"/>
        <w:rPr>
          <w:rFonts w:ascii="Times New Roman" w:hAnsi="Times New Roman" w:cs="Times New Roman"/>
          <w:sz w:val="18"/>
          <w:szCs w:val="14"/>
        </w:rPr>
      </w:pPr>
    </w:p>
    <w:p w14:paraId="37617788">
      <w:pPr>
        <w:pStyle w:val="70"/>
        <w:spacing w:line="360" w:lineRule="auto"/>
        <w:ind w:firstLine="720"/>
        <w:jc w:val="both"/>
        <w:rPr>
          <w:rFonts w:ascii="Times New Roman" w:hAnsi="Times New Roman" w:cs="Times New Roman"/>
        </w:rPr>
      </w:pPr>
      <w:r>
        <w:rPr>
          <w:rFonts w:ascii="Times New Roman" w:hAnsi="Times New Roman" w:cs="Times New Roman"/>
        </w:rPr>
        <w:t>A presente contratação tem como objeto a conclusão da obra remanescente de uma Unidade Básica de Saúde (UBS) de Porte I no Município de Rondonópolis – MT, localizada no Bairro Jardim Nossa Senhora da Glória, com a finalidade de ampliar e qualificar a rede de atendimento, promovendo uma resposta mais eficiente às necessidades de saúde da população local.</w:t>
      </w:r>
    </w:p>
    <w:p w14:paraId="37617789">
      <w:pPr>
        <w:pStyle w:val="70"/>
        <w:spacing w:line="360" w:lineRule="auto"/>
        <w:ind w:firstLine="720"/>
        <w:jc w:val="both"/>
        <w:rPr>
          <w:rFonts w:ascii="Times New Roman" w:hAnsi="Times New Roman" w:cs="Times New Roman"/>
        </w:rPr>
      </w:pPr>
      <w:r>
        <w:rPr>
          <w:rFonts w:ascii="Times New Roman" w:hAnsi="Times New Roman" w:cs="Times New Roman"/>
        </w:rPr>
        <w:t>Dessa forma, a contratação se mostra necessária e estratégica, tendo em vista a necessidade de conclusão de uma infraestrutura já iniciada e atualmente indisponível para atendimento. A finalização da unidade assegurará maior resolutividade dos serviços, melhoria no fluxo de pacientes e qualificação do cuidado prestado, fortalecendo o sistema municipal de saúde em consonância com os princípios do Sistema Único de Saúde (SUS).</w:t>
      </w:r>
    </w:p>
    <w:p w14:paraId="3761778A">
      <w:pPr>
        <w:pStyle w:val="70"/>
        <w:spacing w:line="360" w:lineRule="auto"/>
        <w:jc w:val="both"/>
        <w:rPr>
          <w:rFonts w:ascii="Times New Roman" w:hAnsi="Times New Roman" w:cs="Times New Roman"/>
        </w:rPr>
      </w:pPr>
    </w:p>
    <w:tbl>
      <w:tblPr>
        <w:tblStyle w:val="79"/>
        <w:tblW w:w="10366" w:type="dxa"/>
        <w:tblInd w:w="0" w:type="dxa"/>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Layout w:type="fixed"/>
        <w:tblCellMar>
          <w:top w:w="0" w:type="dxa"/>
          <w:left w:w="108" w:type="dxa"/>
          <w:bottom w:w="0" w:type="dxa"/>
          <w:right w:w="108" w:type="dxa"/>
        </w:tblCellMar>
      </w:tblPr>
      <w:tblGrid>
        <w:gridCol w:w="10366"/>
      </w:tblGrid>
      <w:tr w14:paraId="3761778C">
        <w:tblPrEx>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CellMar>
            <w:top w:w="0" w:type="dxa"/>
            <w:left w:w="108" w:type="dxa"/>
            <w:bottom w:w="0" w:type="dxa"/>
            <w:right w:w="108" w:type="dxa"/>
          </w:tblCellMar>
        </w:tblPrEx>
        <w:trPr>
          <w:trHeight w:val="367" w:hRule="atLeast"/>
        </w:trPr>
        <w:tc>
          <w:tcPr>
            <w:tcW w:w="10366" w:type="dxa"/>
            <w:shd w:val="clear" w:color="auto" w:fill="D0CECE" w:themeFill="background2" w:themeFillShade="E6"/>
            <w:vAlign w:val="center"/>
          </w:tcPr>
          <w:p w14:paraId="3761778B">
            <w:pPr>
              <w:pStyle w:val="21"/>
              <w:spacing w:line="360" w:lineRule="auto"/>
              <w:rPr>
                <w:rFonts w:ascii="Times New Roman" w:hAnsi="Times New Roman" w:cs="Times New Roman"/>
              </w:rPr>
            </w:pPr>
            <w:bookmarkStart w:id="3" w:name="_Toc194397099"/>
            <w:r>
              <w:rPr>
                <w:rFonts w:ascii="Times New Roman" w:hAnsi="Times New Roman" w:cs="Times New Roman"/>
              </w:rPr>
              <w:t>3. PLANO DE CONTRATAÇÃO ANUAL (art. 18º, §1º, INCISO “II”)</w:t>
            </w:r>
            <w:bookmarkEnd w:id="3"/>
          </w:p>
        </w:tc>
      </w:tr>
    </w:tbl>
    <w:p w14:paraId="3761778D">
      <w:pPr>
        <w:pStyle w:val="70"/>
        <w:spacing w:line="360" w:lineRule="auto"/>
        <w:jc w:val="both"/>
        <w:rPr>
          <w:rFonts w:ascii="Times New Roman" w:hAnsi="Times New Roman" w:cs="Times New Roman"/>
          <w:lang w:val="pt-BR"/>
        </w:rPr>
      </w:pPr>
    </w:p>
    <w:p w14:paraId="3761778E">
      <w:pPr>
        <w:spacing w:line="360" w:lineRule="auto"/>
        <w:ind w:left="2835" w:right="-1"/>
        <w:jc w:val="both"/>
        <w:rPr>
          <w:rFonts w:ascii="Times New Roman" w:hAnsi="Times New Roman" w:cs="Times New Roman"/>
          <w:sz w:val="18"/>
          <w:szCs w:val="14"/>
        </w:rPr>
      </w:pPr>
      <w:r>
        <w:rPr>
          <w:rFonts w:ascii="Times New Roman" w:hAnsi="Times New Roman" w:cs="Times New Roman"/>
          <w:b/>
          <w:bCs/>
          <w:sz w:val="18"/>
          <w:szCs w:val="14"/>
        </w:rPr>
        <w:t>Fundamentação:</w:t>
      </w:r>
      <w:r>
        <w:rPr>
          <w:rFonts w:ascii="Times New Roman" w:hAnsi="Times New Roman" w:cs="Times New Roman"/>
          <w:sz w:val="18"/>
          <w:szCs w:val="14"/>
        </w:rPr>
        <w:t xml:space="preserve"> Demonstração da previsão da contratação no plano de contratações anual, sempre que elaborado, de modo a indicar o seu alinhamento com o planejamento da Administração; (inciso II do § 1° do art. 18 da Lei 14.133/21 e art. 9°, inciso IX da IN 58/2022).</w:t>
      </w:r>
    </w:p>
    <w:p w14:paraId="3761778F">
      <w:pPr>
        <w:pStyle w:val="70"/>
        <w:spacing w:line="360" w:lineRule="auto"/>
        <w:jc w:val="both"/>
        <w:rPr>
          <w:rFonts w:ascii="Times New Roman" w:hAnsi="Times New Roman" w:cs="Times New Roman"/>
          <w:lang w:val="pt-BR"/>
        </w:rPr>
      </w:pPr>
    </w:p>
    <w:p w14:paraId="37617790">
      <w:pPr>
        <w:pStyle w:val="70"/>
        <w:spacing w:line="360" w:lineRule="auto"/>
        <w:ind w:firstLine="720"/>
        <w:jc w:val="both"/>
        <w:rPr>
          <w:rFonts w:ascii="Times New Roman" w:hAnsi="Times New Roman" w:cs="Times New Roman"/>
        </w:rPr>
      </w:pPr>
      <w:r>
        <w:rPr>
          <w:rFonts w:ascii="Times New Roman" w:hAnsi="Times New Roman" w:cs="Times New Roman"/>
        </w:rPr>
        <w:t>O Plano de Contratações Anual (PCA) é uma ferramenta essencial de gestão que visa orientar e organizar as aquisições e contratações do setor público, promovendo o alinhamento entre o planejamento orçamentário e as demandas administrativas. Esse instrumento permite maior previsibilidade, controle e eficiência na aplicação dos recursos públicos.</w:t>
      </w:r>
    </w:p>
    <w:p w14:paraId="37617791">
      <w:pPr>
        <w:pStyle w:val="70"/>
        <w:spacing w:line="360" w:lineRule="auto"/>
        <w:ind w:firstLine="720"/>
        <w:jc w:val="both"/>
        <w:rPr>
          <w:rFonts w:ascii="Times New Roman" w:hAnsi="Times New Roman" w:cs="Times New Roman"/>
        </w:rPr>
      </w:pPr>
      <w:r>
        <w:rPr>
          <w:rFonts w:ascii="Times New Roman" w:hAnsi="Times New Roman" w:cs="Times New Roman"/>
        </w:rPr>
        <w:t>No entanto, a presente contratação — que tem como objetivo a conclusão da obra remanescente de uma Unidade Básica de Saúde (UBS) de Porte I, localizada no Bairro Jardim Nossa Senhora da Glória, no município de Rondonópolis – MT — ainda não foi inserida no PCA vigente. Trata-se, contudo, de uma demanda prioritária, tendo em vista a necessidade de finalização de uma unidade já iniciada e atualmente indisponível para atendimento à população local.</w:t>
      </w:r>
    </w:p>
    <w:p w14:paraId="37617792">
      <w:pPr>
        <w:pStyle w:val="70"/>
        <w:spacing w:line="360" w:lineRule="auto"/>
        <w:ind w:firstLine="720"/>
        <w:jc w:val="both"/>
        <w:rPr>
          <w:rFonts w:ascii="Times New Roman" w:hAnsi="Times New Roman" w:cs="Times New Roman"/>
        </w:rPr>
      </w:pPr>
      <w:r>
        <w:rPr>
          <w:rFonts w:ascii="Times New Roman" w:hAnsi="Times New Roman" w:cs="Times New Roman"/>
        </w:rPr>
        <w:t>Destaca-se que a presente contratação será custeada integralmente com recursos provenientes de verba federal, devidamente assegurados, o que reforça a necessidade de sua execução e a observância dos procedimentos formais de planejamento e controle.</w:t>
      </w:r>
    </w:p>
    <w:p w14:paraId="37617793">
      <w:pPr>
        <w:pStyle w:val="70"/>
        <w:spacing w:line="360" w:lineRule="auto"/>
        <w:ind w:firstLine="720"/>
        <w:jc w:val="both"/>
        <w:rPr>
          <w:rFonts w:ascii="Times New Roman" w:hAnsi="Times New Roman" w:cs="Times New Roman"/>
        </w:rPr>
      </w:pPr>
      <w:r>
        <w:rPr>
          <w:rFonts w:ascii="Times New Roman" w:hAnsi="Times New Roman" w:cs="Times New Roman"/>
        </w:rPr>
        <w:t>Diante disso, após a conclusão deste Estudo Técnico Preliminar (ETP) e mediante a definição do valor estimado da contratação, o projeto será devidamente incluído no Plano de Contratações Anual, em conformidade com os trâmites legais e os princípios do planejamento público. A inclusão posterior permitirá o adequado registro orçamentário, a vinculação à fonte de recurso e a devida publicidade nos meios oficiais.</w:t>
      </w:r>
    </w:p>
    <w:p w14:paraId="37617794">
      <w:pPr>
        <w:pStyle w:val="70"/>
        <w:spacing w:line="360" w:lineRule="auto"/>
        <w:jc w:val="both"/>
        <w:rPr>
          <w:rFonts w:ascii="Times New Roman" w:hAnsi="Times New Roman" w:cs="Times New Roman"/>
        </w:rPr>
      </w:pPr>
    </w:p>
    <w:tbl>
      <w:tblPr>
        <w:tblStyle w:val="79"/>
        <w:tblW w:w="10366" w:type="dxa"/>
        <w:tblInd w:w="0" w:type="dxa"/>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Layout w:type="fixed"/>
        <w:tblCellMar>
          <w:top w:w="0" w:type="dxa"/>
          <w:left w:w="108" w:type="dxa"/>
          <w:bottom w:w="0" w:type="dxa"/>
          <w:right w:w="108" w:type="dxa"/>
        </w:tblCellMar>
      </w:tblPr>
      <w:tblGrid>
        <w:gridCol w:w="10366"/>
      </w:tblGrid>
      <w:tr w14:paraId="37617796">
        <w:tblPrEx>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CellMar>
            <w:top w:w="0" w:type="dxa"/>
            <w:left w:w="108" w:type="dxa"/>
            <w:bottom w:w="0" w:type="dxa"/>
            <w:right w:w="108" w:type="dxa"/>
          </w:tblCellMar>
        </w:tblPrEx>
        <w:trPr>
          <w:trHeight w:val="367" w:hRule="atLeast"/>
        </w:trPr>
        <w:tc>
          <w:tcPr>
            <w:tcW w:w="10366" w:type="dxa"/>
            <w:shd w:val="clear" w:color="auto" w:fill="D0CECE" w:themeFill="background2" w:themeFillShade="E6"/>
            <w:vAlign w:val="center"/>
          </w:tcPr>
          <w:p w14:paraId="37617795">
            <w:pPr>
              <w:pStyle w:val="21"/>
              <w:spacing w:line="360" w:lineRule="auto"/>
              <w:rPr>
                <w:rFonts w:ascii="Times New Roman" w:hAnsi="Times New Roman" w:cs="Times New Roman"/>
              </w:rPr>
            </w:pPr>
            <w:bookmarkStart w:id="4" w:name="_Toc194397100"/>
            <w:r>
              <w:rPr>
                <w:rFonts w:ascii="Times New Roman" w:hAnsi="Times New Roman" w:cs="Times New Roman"/>
              </w:rPr>
              <w:t>4. DESCRIÇÃO DOS REQUISITOS DA CONTRATAÇÃO (art. 18º, §1º, INCISO “III”)</w:t>
            </w:r>
            <w:bookmarkEnd w:id="4"/>
          </w:p>
        </w:tc>
      </w:tr>
    </w:tbl>
    <w:p w14:paraId="37617797">
      <w:pPr>
        <w:pStyle w:val="70"/>
        <w:spacing w:line="360" w:lineRule="auto"/>
        <w:jc w:val="both"/>
        <w:rPr>
          <w:rFonts w:ascii="Times New Roman" w:hAnsi="Times New Roman" w:cs="Times New Roman"/>
          <w:lang w:val="pt-BR"/>
        </w:rPr>
      </w:pPr>
    </w:p>
    <w:p w14:paraId="37617798">
      <w:pPr>
        <w:spacing w:line="360" w:lineRule="auto"/>
        <w:ind w:left="2835" w:right="-1"/>
        <w:jc w:val="both"/>
        <w:rPr>
          <w:rFonts w:ascii="Times New Roman" w:hAnsi="Times New Roman" w:cs="Times New Roman"/>
        </w:rPr>
      </w:pPr>
      <w:r>
        <w:rPr>
          <w:rFonts w:ascii="Times New Roman" w:hAnsi="Times New Roman" w:cs="Times New Roman"/>
          <w:b/>
          <w:bCs/>
          <w:sz w:val="18"/>
          <w:szCs w:val="14"/>
        </w:rPr>
        <w:t>Fundamentação:</w:t>
      </w:r>
      <w:r>
        <w:rPr>
          <w:rFonts w:ascii="Times New Roman" w:hAnsi="Times New Roman" w:cs="Times New Roman"/>
          <w:sz w:val="18"/>
          <w:szCs w:val="14"/>
        </w:rPr>
        <w:t xml:space="preserve"> Descrição da necessidade da contratação, considerado o problema a ser resolvido sob a perspectiva do interesse público. (Inciso III do § 1° do art. 18 da Lei 14.133/2021 e art. 9°, inciso II da IN 58/2022).</w:t>
      </w:r>
    </w:p>
    <w:p w14:paraId="37617799">
      <w:pPr>
        <w:pStyle w:val="70"/>
        <w:spacing w:line="360" w:lineRule="auto"/>
        <w:jc w:val="both"/>
        <w:rPr>
          <w:rFonts w:ascii="Times New Roman" w:hAnsi="Times New Roman" w:cs="Times New Roman"/>
          <w:lang w:val="pt-BR"/>
        </w:rPr>
      </w:pPr>
    </w:p>
    <w:p w14:paraId="3761779A">
      <w:pPr>
        <w:pStyle w:val="70"/>
        <w:spacing w:line="360" w:lineRule="auto"/>
        <w:jc w:val="both"/>
        <w:rPr>
          <w:rFonts w:ascii="Times New Roman" w:hAnsi="Times New Roman" w:cs="Times New Roman"/>
          <w:lang w:val="pt-BR"/>
        </w:rPr>
      </w:pPr>
      <w:r>
        <w:rPr>
          <w:rFonts w:ascii="Times New Roman" w:hAnsi="Times New Roman" w:cs="Times New Roman"/>
        </w:rPr>
        <w:tab/>
      </w:r>
      <w:r>
        <w:rPr>
          <w:rFonts w:ascii="Times New Roman" w:hAnsi="Times New Roman" w:cs="Times New Roman"/>
          <w:lang w:val="pt-BR"/>
        </w:rPr>
        <w:t xml:space="preserve">A empresa contratada deverá possuir comprovada </w:t>
      </w:r>
      <w:r>
        <w:rPr>
          <w:rFonts w:ascii="Times New Roman" w:hAnsi="Times New Roman" w:cs="Times New Roman"/>
          <w:b/>
          <w:bCs/>
          <w:lang w:val="pt-BR"/>
        </w:rPr>
        <w:t>capacitação técnica e experiência na execução de obras civis</w:t>
      </w:r>
      <w:r>
        <w:rPr>
          <w:rFonts w:ascii="Times New Roman" w:hAnsi="Times New Roman" w:cs="Times New Roman"/>
          <w:lang w:val="pt-BR"/>
        </w:rPr>
        <w:t xml:space="preserve">, conforme os serviços previstos nos </w:t>
      </w:r>
      <w:r>
        <w:rPr>
          <w:rFonts w:ascii="Times New Roman" w:hAnsi="Times New Roman" w:cs="Times New Roman"/>
          <w:b/>
          <w:bCs/>
          <w:lang w:val="pt-BR"/>
        </w:rPr>
        <w:t>projetos, memoriais descritivos e planilhas de serviços</w:t>
      </w:r>
      <w:r>
        <w:rPr>
          <w:rFonts w:ascii="Times New Roman" w:hAnsi="Times New Roman" w:cs="Times New Roman"/>
          <w:lang w:val="pt-BR"/>
        </w:rPr>
        <w:t xml:space="preserve"> a serem apresentados.</w:t>
      </w:r>
    </w:p>
    <w:p w14:paraId="3761779B">
      <w:pPr>
        <w:pStyle w:val="70"/>
        <w:spacing w:line="360" w:lineRule="auto"/>
        <w:ind w:firstLine="720"/>
        <w:jc w:val="both"/>
        <w:rPr>
          <w:rFonts w:ascii="Times New Roman" w:hAnsi="Times New Roman" w:cs="Times New Roman"/>
          <w:lang w:val="pt-BR"/>
        </w:rPr>
      </w:pPr>
      <w:r>
        <w:rPr>
          <w:rFonts w:ascii="Times New Roman" w:hAnsi="Times New Roman" w:cs="Times New Roman"/>
          <w:lang w:val="pt-BR"/>
        </w:rPr>
        <w:t xml:space="preserve">A contratação será realizada na modalidade </w:t>
      </w:r>
      <w:r>
        <w:rPr>
          <w:rFonts w:ascii="Times New Roman" w:hAnsi="Times New Roman" w:cs="Times New Roman"/>
          <w:b/>
          <w:bCs/>
          <w:lang w:val="pt-BR"/>
        </w:rPr>
        <w:t>empreitada por preço unitário</w:t>
      </w:r>
      <w:r>
        <w:rPr>
          <w:rFonts w:ascii="Times New Roman" w:hAnsi="Times New Roman" w:cs="Times New Roman"/>
          <w:lang w:val="pt-BR"/>
        </w:rPr>
        <w:t xml:space="preserve">, conforme o </w:t>
      </w:r>
      <w:r>
        <w:rPr>
          <w:rFonts w:ascii="Times New Roman" w:hAnsi="Times New Roman" w:cs="Times New Roman"/>
          <w:b/>
          <w:bCs/>
          <w:lang w:val="pt-BR"/>
        </w:rPr>
        <w:t>inciso XXVIII do art. 6º da Lei nº 14.133/2021</w:t>
      </w:r>
      <w:r>
        <w:rPr>
          <w:rFonts w:ascii="Times New Roman" w:hAnsi="Times New Roman" w:cs="Times New Roman"/>
          <w:lang w:val="pt-BR"/>
        </w:rPr>
        <w:t xml:space="preserve">, tendo em vista que os projetos e as planilhas orçamentárias serão devidamente elaborados, com </w:t>
      </w:r>
      <w:r>
        <w:rPr>
          <w:rFonts w:ascii="Times New Roman" w:hAnsi="Times New Roman" w:cs="Times New Roman"/>
          <w:b/>
          <w:bCs/>
          <w:lang w:val="pt-BR"/>
        </w:rPr>
        <w:t>quantitativos definidos</w:t>
      </w:r>
      <w:r>
        <w:rPr>
          <w:rFonts w:ascii="Times New Roman" w:hAnsi="Times New Roman" w:cs="Times New Roman"/>
          <w:lang w:val="pt-BR"/>
        </w:rPr>
        <w:t xml:space="preserve">, permitindo a </w:t>
      </w:r>
      <w:r>
        <w:rPr>
          <w:rFonts w:ascii="Times New Roman" w:hAnsi="Times New Roman" w:cs="Times New Roman"/>
          <w:b/>
          <w:bCs/>
          <w:lang w:val="pt-BR"/>
        </w:rPr>
        <w:t>fixação de um preço fechado para a execução integral da obra</w:t>
      </w:r>
      <w:r>
        <w:rPr>
          <w:rFonts w:ascii="Times New Roman" w:hAnsi="Times New Roman" w:cs="Times New Roman"/>
          <w:lang w:val="pt-BR"/>
        </w:rPr>
        <w:t>.</w:t>
      </w:r>
    </w:p>
    <w:p w14:paraId="3761779C">
      <w:pPr>
        <w:pStyle w:val="70"/>
        <w:spacing w:line="360" w:lineRule="auto"/>
        <w:jc w:val="both"/>
        <w:rPr>
          <w:rFonts w:ascii="Times New Roman" w:hAnsi="Times New Roman" w:cs="Times New Roman"/>
        </w:rPr>
      </w:pPr>
    </w:p>
    <w:p w14:paraId="3761779D">
      <w:pPr>
        <w:pStyle w:val="70"/>
        <w:spacing w:line="360" w:lineRule="auto"/>
        <w:jc w:val="both"/>
        <w:rPr>
          <w:rFonts w:ascii="Times New Roman" w:hAnsi="Times New Roman" w:cs="Times New Roman"/>
        </w:rPr>
      </w:pPr>
      <w:r>
        <w:rPr>
          <w:rFonts w:ascii="Times New Roman" w:hAnsi="Times New Roman" w:cs="Times New Roman"/>
          <w:b/>
          <w:bCs/>
        </w:rPr>
        <w:t>4.1. Requisitos Técnicos da Contratação</w:t>
      </w:r>
    </w:p>
    <w:p w14:paraId="3761779E">
      <w:pPr>
        <w:pStyle w:val="70"/>
        <w:spacing w:line="360" w:lineRule="auto"/>
        <w:jc w:val="both"/>
        <w:rPr>
          <w:rFonts w:ascii="Times New Roman" w:hAnsi="Times New Roman" w:cs="Times New Roman"/>
        </w:rPr>
      </w:pPr>
    </w:p>
    <w:p w14:paraId="3761779F">
      <w:pPr>
        <w:pStyle w:val="70"/>
        <w:spacing w:line="360" w:lineRule="auto"/>
        <w:jc w:val="both"/>
        <w:rPr>
          <w:rFonts w:ascii="Times New Roman" w:hAnsi="Times New Roman" w:cs="Times New Roman"/>
          <w:lang w:val="pt-BR"/>
        </w:rPr>
      </w:pPr>
      <w:r>
        <w:rPr>
          <w:rFonts w:ascii="Times New Roman" w:hAnsi="Times New Roman" w:cs="Times New Roman"/>
        </w:rPr>
        <w:t xml:space="preserve">- </w:t>
      </w:r>
      <w:r>
        <w:rPr>
          <w:rFonts w:ascii="Times New Roman" w:hAnsi="Times New Roman" w:cs="Times New Roman"/>
          <w:lang w:val="pt-BR"/>
        </w:rPr>
        <w:t>Os serviços a serem executados, e os materiais a serem aplicados e/ou substituídos, deverão abraçar as determinações dos projetos, dos memoriais descritivos e das especificações técnicas;</w:t>
      </w:r>
    </w:p>
    <w:p w14:paraId="376177A0">
      <w:pPr>
        <w:pStyle w:val="70"/>
        <w:spacing w:line="360" w:lineRule="auto"/>
        <w:jc w:val="both"/>
        <w:rPr>
          <w:rFonts w:ascii="Times New Roman" w:hAnsi="Times New Roman" w:cs="Times New Roman"/>
          <w:lang w:val="pt-BR"/>
        </w:rPr>
      </w:pPr>
      <w:r>
        <w:rPr>
          <w:rFonts w:ascii="Times New Roman" w:hAnsi="Times New Roman" w:cs="Times New Roman"/>
          <w:lang w:val="pt-BR"/>
        </w:rPr>
        <w:t xml:space="preserve">- </w:t>
      </w:r>
      <w:r>
        <w:rPr>
          <w:rFonts w:ascii="Times New Roman" w:hAnsi="Times New Roman" w:cs="Times New Roman"/>
        </w:rPr>
        <w:t xml:space="preserve">A metodologia executiva a ser adotada, deverá estar em conformidade com as normas </w:t>
      </w:r>
      <w:r>
        <w:rPr>
          <w:rFonts w:ascii="Times New Roman" w:hAnsi="Times New Roman" w:cs="Times New Roman"/>
          <w:lang w:val="pt-BR"/>
        </w:rPr>
        <w:t>técnicas vigentes;</w:t>
      </w:r>
    </w:p>
    <w:p w14:paraId="376177A1">
      <w:pPr>
        <w:pStyle w:val="70"/>
        <w:spacing w:line="360" w:lineRule="auto"/>
        <w:jc w:val="both"/>
        <w:rPr>
          <w:rFonts w:ascii="Times New Roman" w:hAnsi="Times New Roman" w:cs="Times New Roman"/>
          <w:lang w:val="pt-BR"/>
        </w:rPr>
      </w:pPr>
      <w:r>
        <w:rPr>
          <w:rFonts w:ascii="Times New Roman" w:hAnsi="Times New Roman" w:cs="Times New Roman"/>
          <w:lang w:val="pt-BR"/>
        </w:rPr>
        <w:t xml:space="preserve">- </w:t>
      </w:r>
      <w:r>
        <w:rPr>
          <w:rFonts w:ascii="Times New Roman" w:hAnsi="Times New Roman" w:cs="Times New Roman"/>
        </w:rPr>
        <w:t xml:space="preserve">A definição do orçamento e do prazo de execução da obra, estão delineados na planilha </w:t>
      </w:r>
      <w:r>
        <w:rPr>
          <w:rFonts w:ascii="Times New Roman" w:hAnsi="Times New Roman" w:cs="Times New Roman"/>
          <w:lang w:val="pt-BR"/>
        </w:rPr>
        <w:t>orçamentária e no cronograma físico-financeiro, visualizados no projeto;</w:t>
      </w:r>
    </w:p>
    <w:p w14:paraId="376177A2">
      <w:pPr>
        <w:pStyle w:val="70"/>
        <w:spacing w:line="360" w:lineRule="auto"/>
        <w:jc w:val="both"/>
        <w:rPr>
          <w:rFonts w:ascii="Times New Roman" w:hAnsi="Times New Roman" w:cs="Times New Roman"/>
          <w:lang w:val="pt-BR"/>
        </w:rPr>
      </w:pPr>
    </w:p>
    <w:p w14:paraId="376177A3">
      <w:pPr>
        <w:pStyle w:val="70"/>
        <w:spacing w:line="360" w:lineRule="auto"/>
        <w:jc w:val="both"/>
        <w:rPr>
          <w:rFonts w:ascii="Times New Roman" w:hAnsi="Times New Roman" w:cs="Times New Roman"/>
          <w:lang w:val="pt-BR"/>
        </w:rPr>
      </w:pPr>
      <w:r>
        <w:rPr>
          <w:rFonts w:ascii="Times New Roman" w:hAnsi="Times New Roman" w:cs="Times New Roman"/>
          <w:b/>
          <w:bCs/>
          <w:lang w:val="pt-BR"/>
        </w:rPr>
        <w:t>4.2. Requisitos de Sustentabilidade</w:t>
      </w:r>
    </w:p>
    <w:p w14:paraId="376177A4">
      <w:pPr>
        <w:pStyle w:val="70"/>
        <w:spacing w:line="360" w:lineRule="auto"/>
        <w:jc w:val="both"/>
        <w:rPr>
          <w:rFonts w:ascii="Times New Roman" w:hAnsi="Times New Roman" w:cs="Times New Roman"/>
          <w:lang w:val="pt-BR"/>
        </w:rPr>
      </w:pPr>
    </w:p>
    <w:p w14:paraId="376177A5">
      <w:pPr>
        <w:pStyle w:val="70"/>
        <w:spacing w:line="360" w:lineRule="auto"/>
        <w:jc w:val="both"/>
        <w:rPr>
          <w:rFonts w:ascii="Times New Roman" w:hAnsi="Times New Roman" w:cs="Times New Roman"/>
          <w:lang w:val="pt-BR"/>
        </w:rPr>
      </w:pPr>
      <w:r>
        <w:rPr>
          <w:rFonts w:ascii="Times New Roman" w:hAnsi="Times New Roman" w:cs="Times New Roman"/>
          <w:lang w:val="pt-BR"/>
        </w:rPr>
        <w:tab/>
      </w:r>
      <w:r>
        <w:rPr>
          <w:rFonts w:ascii="Times New Roman" w:hAnsi="Times New Roman" w:cs="Times New Roman"/>
          <w:lang w:val="pt-BR"/>
        </w:rPr>
        <w:t xml:space="preserve">A empresa contratada deverá utilizar </w:t>
      </w:r>
      <w:r>
        <w:rPr>
          <w:rFonts w:ascii="Times New Roman" w:hAnsi="Times New Roman" w:cs="Times New Roman"/>
        </w:rPr>
        <w:t xml:space="preserve">na execução da obra as boas práticas de sustentabilidade ambiental, respeitando-se, dentre outros, os critérios ambientais indicados </w:t>
      </w:r>
      <w:r>
        <w:rPr>
          <w:rFonts w:ascii="Times New Roman" w:hAnsi="Times New Roman" w:cs="Times New Roman"/>
          <w:lang w:val="pt-BR"/>
        </w:rPr>
        <w:t>abaixo:</w:t>
      </w:r>
    </w:p>
    <w:p w14:paraId="376177A6">
      <w:pPr>
        <w:pStyle w:val="70"/>
        <w:spacing w:line="360" w:lineRule="auto"/>
        <w:jc w:val="both"/>
        <w:rPr>
          <w:rFonts w:ascii="Times New Roman" w:hAnsi="Times New Roman" w:cs="Times New Roman"/>
          <w:lang w:val="pt-BR"/>
        </w:rPr>
      </w:pPr>
    </w:p>
    <w:p w14:paraId="376177A7">
      <w:pPr>
        <w:pStyle w:val="70"/>
        <w:spacing w:line="360" w:lineRule="auto"/>
        <w:jc w:val="both"/>
        <w:rPr>
          <w:rFonts w:ascii="Times New Roman" w:hAnsi="Times New Roman" w:cs="Times New Roman"/>
          <w:lang w:val="pt-BR"/>
        </w:rPr>
      </w:pPr>
      <w:r>
        <w:rPr>
          <w:rFonts w:ascii="Times New Roman" w:hAnsi="Times New Roman" w:cs="Times New Roman"/>
          <w:lang w:val="pt-BR"/>
        </w:rPr>
        <w:t xml:space="preserve">- </w:t>
      </w:r>
      <w:r>
        <w:rPr>
          <w:rFonts w:ascii="Times New Roman" w:hAnsi="Times New Roman" w:cs="Times New Roman"/>
        </w:rPr>
        <w:t xml:space="preserve">Uso produtos de limpeza e conservação de superfícies e objetos inanimados que </w:t>
      </w:r>
      <w:r>
        <w:rPr>
          <w:rFonts w:ascii="Times New Roman" w:hAnsi="Times New Roman" w:cs="Times New Roman"/>
          <w:lang w:val="pt-BR"/>
        </w:rPr>
        <w:t>obedeçam às classificações e especificações da ANVISA;</w:t>
      </w:r>
    </w:p>
    <w:p w14:paraId="376177A8">
      <w:pPr>
        <w:pStyle w:val="70"/>
        <w:spacing w:line="360" w:lineRule="auto"/>
        <w:jc w:val="both"/>
        <w:rPr>
          <w:rFonts w:ascii="Times New Roman" w:hAnsi="Times New Roman" w:cs="Times New Roman"/>
          <w:lang w:val="pt-BR"/>
        </w:rPr>
      </w:pPr>
      <w:r>
        <w:rPr>
          <w:rFonts w:ascii="Times New Roman" w:hAnsi="Times New Roman" w:cs="Times New Roman"/>
          <w:lang w:val="pt-BR"/>
        </w:rPr>
        <w:t xml:space="preserve">- </w:t>
      </w:r>
      <w:r>
        <w:rPr>
          <w:rFonts w:ascii="Times New Roman" w:hAnsi="Times New Roman" w:cs="Times New Roman"/>
        </w:rPr>
        <w:t xml:space="preserve">Implementação de um programa de treinamento de seus empregados visando o uso </w:t>
      </w:r>
      <w:r>
        <w:rPr>
          <w:rFonts w:ascii="Times New Roman" w:hAnsi="Times New Roman" w:cs="Times New Roman"/>
          <w:lang w:val="pt-BR"/>
        </w:rPr>
        <w:t>racional de consumo de energia elétrica e água, bem como redução de resíduos sólidos;</w:t>
      </w:r>
    </w:p>
    <w:p w14:paraId="376177A9">
      <w:pPr>
        <w:pStyle w:val="70"/>
        <w:spacing w:line="360" w:lineRule="auto"/>
        <w:jc w:val="both"/>
        <w:rPr>
          <w:rFonts w:ascii="Times New Roman" w:hAnsi="Times New Roman" w:cs="Times New Roman"/>
          <w:lang w:val="pt-BR"/>
        </w:rPr>
      </w:pPr>
      <w:r>
        <w:rPr>
          <w:rFonts w:ascii="Times New Roman" w:hAnsi="Times New Roman" w:cs="Times New Roman"/>
          <w:lang w:val="pt-BR"/>
        </w:rPr>
        <w:t>- Sempre que possível, fazer uso de energia renovável;</w:t>
      </w:r>
    </w:p>
    <w:p w14:paraId="376177AA">
      <w:pPr>
        <w:pStyle w:val="70"/>
        <w:spacing w:line="360" w:lineRule="auto"/>
        <w:jc w:val="both"/>
        <w:rPr>
          <w:rFonts w:ascii="Times New Roman" w:hAnsi="Times New Roman" w:cs="Times New Roman"/>
          <w:lang w:val="pt-BR"/>
        </w:rPr>
      </w:pPr>
      <w:r>
        <w:rPr>
          <w:rFonts w:ascii="Times New Roman" w:hAnsi="Times New Roman" w:cs="Times New Roman"/>
          <w:lang w:val="pt-BR"/>
        </w:rPr>
        <w:t xml:space="preserve">- </w:t>
      </w:r>
      <w:r>
        <w:rPr>
          <w:rFonts w:ascii="Times New Roman" w:hAnsi="Times New Roman" w:cs="Times New Roman"/>
        </w:rPr>
        <w:t xml:space="preserve">Classificação e destinação adequada dos resíduos recicláveis produzidos durante a execução dos serviços. Especificamente para papéis e latas de alumínio deve-se contatar </w:t>
      </w:r>
      <w:r>
        <w:rPr>
          <w:rFonts w:ascii="Times New Roman" w:hAnsi="Times New Roman" w:cs="Times New Roman"/>
          <w:lang w:val="pt-BR"/>
        </w:rPr>
        <w:t>as Associações e/ou Cooperativas locais de catadores de materiais recicláveis.</w:t>
      </w:r>
    </w:p>
    <w:p w14:paraId="376177AB">
      <w:pPr>
        <w:pStyle w:val="70"/>
        <w:spacing w:line="360" w:lineRule="auto"/>
        <w:jc w:val="both"/>
        <w:rPr>
          <w:rFonts w:ascii="Times New Roman" w:hAnsi="Times New Roman" w:cs="Times New Roman"/>
          <w:lang w:val="pt-BR"/>
        </w:rPr>
      </w:pPr>
      <w:r>
        <w:rPr>
          <w:rFonts w:ascii="Times New Roman" w:hAnsi="Times New Roman" w:cs="Times New Roman"/>
          <w:lang w:val="pt-BR"/>
        </w:rPr>
        <w:t>- Adoção e promoção de medidas de proteção para a redução ou neutralização dos riscos ocupacionais aos seus empregados, além de fornecimento de equipamentos de proteção individuais – EPIs necessários, tais como óculos, luvas, aventais, máscaras, calçados apropriados, protetores auriculares etc., fiscalizando e zelando para que os mesmos cumpram as normas e procedimentos destinados à preservação de sua integridade física;</w:t>
      </w:r>
    </w:p>
    <w:p w14:paraId="376177AC">
      <w:pPr>
        <w:pStyle w:val="70"/>
        <w:spacing w:line="360" w:lineRule="auto"/>
        <w:jc w:val="both"/>
        <w:rPr>
          <w:rFonts w:ascii="Times New Roman" w:hAnsi="Times New Roman" w:cs="Times New Roman"/>
          <w:lang w:val="pt-BR"/>
        </w:rPr>
      </w:pPr>
      <w:r>
        <w:rPr>
          <w:rFonts w:ascii="Times New Roman" w:hAnsi="Times New Roman" w:cs="Times New Roman"/>
          <w:lang w:val="pt-BR"/>
        </w:rPr>
        <w:t>- Atendimento aos padrões indicados pela Resolução CONAMA nº 20/1994 quando da aquisição e utilização de equipamentos de limpeza que gerem ruídos em seu funcionamento;</w:t>
      </w:r>
    </w:p>
    <w:p w14:paraId="376177AD">
      <w:pPr>
        <w:pStyle w:val="70"/>
        <w:spacing w:line="360" w:lineRule="auto"/>
        <w:jc w:val="both"/>
        <w:rPr>
          <w:rFonts w:ascii="Times New Roman" w:hAnsi="Times New Roman" w:cs="Times New Roman"/>
          <w:lang w:val="pt-BR"/>
        </w:rPr>
      </w:pPr>
      <w:r>
        <w:rPr>
          <w:rFonts w:ascii="Times New Roman" w:hAnsi="Times New Roman" w:cs="Times New Roman"/>
          <w:lang w:val="pt-BR"/>
        </w:rPr>
        <w:t>- Consideração nas pesquisas de preços para aquisições e serviços contemplados no escopo da contratação, empresas que tenham certificação ambiental.</w:t>
      </w:r>
    </w:p>
    <w:p w14:paraId="376177AE">
      <w:pPr>
        <w:pStyle w:val="70"/>
        <w:spacing w:line="360" w:lineRule="auto"/>
        <w:jc w:val="both"/>
        <w:rPr>
          <w:rFonts w:ascii="Times New Roman" w:hAnsi="Times New Roman" w:cs="Times New Roman"/>
          <w:lang w:val="pt-BR"/>
        </w:rPr>
      </w:pPr>
    </w:p>
    <w:p w14:paraId="376177AF">
      <w:pPr>
        <w:pStyle w:val="70"/>
        <w:spacing w:line="360" w:lineRule="auto"/>
        <w:jc w:val="both"/>
        <w:rPr>
          <w:rFonts w:ascii="Times New Roman" w:hAnsi="Times New Roman" w:cs="Times New Roman"/>
          <w:b/>
          <w:bCs/>
          <w:lang w:val="pt-BR"/>
        </w:rPr>
      </w:pPr>
      <w:r>
        <w:rPr>
          <w:rFonts w:ascii="Times New Roman" w:hAnsi="Times New Roman" w:cs="Times New Roman"/>
          <w:b/>
          <w:bCs/>
          <w:lang w:val="pt-BR"/>
        </w:rPr>
        <w:t>4.3. Requisitos Normativos que Disciplinam os Serviços a Serem Contratados</w:t>
      </w:r>
    </w:p>
    <w:p w14:paraId="376177B0">
      <w:pPr>
        <w:pStyle w:val="70"/>
        <w:spacing w:line="360" w:lineRule="auto"/>
        <w:jc w:val="both"/>
        <w:rPr>
          <w:rFonts w:ascii="Times New Roman" w:hAnsi="Times New Roman" w:cs="Times New Roman"/>
          <w:lang w:val="pt-BR"/>
        </w:rPr>
      </w:pPr>
    </w:p>
    <w:p w14:paraId="376177B1">
      <w:pPr>
        <w:pStyle w:val="70"/>
        <w:spacing w:line="360" w:lineRule="auto"/>
        <w:jc w:val="both"/>
        <w:rPr>
          <w:rFonts w:ascii="Times New Roman" w:hAnsi="Times New Roman" w:cs="Times New Roman"/>
          <w:lang w:val="pt-BR"/>
        </w:rPr>
      </w:pPr>
      <w:r>
        <w:rPr>
          <w:rFonts w:ascii="Times New Roman" w:hAnsi="Times New Roman" w:cs="Times New Roman"/>
          <w:lang w:val="pt-BR"/>
        </w:rPr>
        <w:t xml:space="preserve">- </w:t>
      </w:r>
      <w:r>
        <w:fldChar w:fldCharType="begin"/>
      </w:r>
      <w:r>
        <w:instrText xml:space="preserve"> HYPERLINK "https://www.planalto.gov.br/ccivil_03/_ato2019-2022/2021/lei/l14133.htm" \h </w:instrText>
      </w:r>
      <w:r>
        <w:fldChar w:fldCharType="separate"/>
      </w:r>
      <w:r>
        <w:rPr>
          <w:rStyle w:val="51"/>
          <w:rFonts w:ascii="Times New Roman" w:hAnsi="Times New Roman" w:cs="Times New Roman"/>
          <w:lang w:val="pt-BR"/>
        </w:rPr>
        <w:t>Lei nº 14.133, de 1º de abril de 2021</w:t>
      </w:r>
      <w:r>
        <w:rPr>
          <w:rStyle w:val="51"/>
          <w:rFonts w:ascii="Times New Roman" w:hAnsi="Times New Roman" w:cs="Times New Roman"/>
          <w:lang w:val="pt-BR"/>
        </w:rPr>
        <w:fldChar w:fldCharType="end"/>
      </w:r>
      <w:r>
        <w:rPr>
          <w:rFonts w:ascii="Times New Roman" w:hAnsi="Times New Roman" w:cs="Times New Roman"/>
          <w:lang w:val="pt-BR"/>
        </w:rPr>
        <w:t>, Lei de Licitações e Contratos Administrativos;</w:t>
      </w:r>
    </w:p>
    <w:p w14:paraId="376177B2">
      <w:pPr>
        <w:pStyle w:val="70"/>
        <w:spacing w:line="360" w:lineRule="auto"/>
        <w:jc w:val="both"/>
        <w:rPr>
          <w:rFonts w:ascii="Times New Roman" w:hAnsi="Times New Roman" w:cs="Times New Roman"/>
          <w:lang w:val="pt-BR"/>
        </w:rPr>
      </w:pPr>
      <w:r>
        <w:rPr>
          <w:rFonts w:ascii="Times New Roman" w:hAnsi="Times New Roman" w:cs="Times New Roman"/>
          <w:lang w:val="pt-BR"/>
        </w:rPr>
        <w:t xml:space="preserve">- </w:t>
      </w:r>
      <w:r>
        <w:fldChar w:fldCharType="begin"/>
      </w:r>
      <w:r>
        <w:instrText xml:space="preserve"> HYPERLINK "https://leismunicipais.com.br/a/mt/r/rondonopolis/decreto/2023/1169/11685/decreto-n-11685-2023-regulamenta-no-ambito-da-administracao-publica-direta-do-municipio-de-rondonopolis-mt-a-lei-n-14133-de-01-de-abril-de-2021-que-estabelece-normas-gerais-de-licitacao-e-contratacao-para-as-administracoes-publicas-diretas-autarquicas-e-fundacionais-da-uniao-dos-estados-do-distrito-federal-e-dos-municipios-e-da-outras-providencias" \h </w:instrText>
      </w:r>
      <w:r>
        <w:fldChar w:fldCharType="separate"/>
      </w:r>
      <w:r>
        <w:rPr>
          <w:rStyle w:val="51"/>
          <w:rFonts w:ascii="Times New Roman" w:hAnsi="Times New Roman" w:cs="Times New Roman"/>
        </w:rPr>
        <w:t>Decreto Municipal n° 11.685/2023</w:t>
      </w:r>
      <w:r>
        <w:rPr>
          <w:rStyle w:val="51"/>
          <w:rFonts w:ascii="Times New Roman" w:hAnsi="Times New Roman" w:cs="Times New Roman"/>
        </w:rPr>
        <w:fldChar w:fldCharType="end"/>
      </w:r>
      <w:r>
        <w:rPr>
          <w:rFonts w:ascii="Times New Roman" w:hAnsi="Times New Roman" w:cs="Times New Roman"/>
        </w:rPr>
        <w:t xml:space="preserve"> – Regulamenta a Lei nº 14.133/2021, no âmbito da </w:t>
      </w:r>
      <w:r>
        <w:rPr>
          <w:rFonts w:ascii="Times New Roman" w:hAnsi="Times New Roman" w:cs="Times New Roman"/>
          <w:lang w:val="pt-BR"/>
        </w:rPr>
        <w:t>Administração Pública Direta do Município de Rondonópolis-MT, suas autarquias e fundações;</w:t>
      </w:r>
    </w:p>
    <w:p w14:paraId="376177B3">
      <w:pPr>
        <w:pStyle w:val="70"/>
        <w:spacing w:line="360" w:lineRule="auto"/>
        <w:jc w:val="both"/>
        <w:rPr>
          <w:rFonts w:ascii="Times New Roman" w:hAnsi="Times New Roman" w:cs="Times New Roman"/>
          <w:lang w:val="pt-BR"/>
        </w:rPr>
      </w:pPr>
      <w:r>
        <w:rPr>
          <w:rFonts w:ascii="Times New Roman" w:hAnsi="Times New Roman" w:cs="Times New Roman"/>
          <w:lang w:val="pt-BR"/>
        </w:rPr>
        <w:t xml:space="preserve">- </w:t>
      </w:r>
      <w:r>
        <w:rPr>
          <w:rFonts w:ascii="Times New Roman" w:hAnsi="Times New Roman" w:cs="Times New Roman"/>
        </w:rPr>
        <w:t xml:space="preserve">Normas da ABNT, Especificações de Serviço e Normas do DNIT, e das legislações pertinentes para execução de todos os serviços aplicáveis na execução da obra, inclusive </w:t>
      </w:r>
      <w:r>
        <w:rPr>
          <w:rFonts w:ascii="Times New Roman" w:hAnsi="Times New Roman" w:cs="Times New Roman"/>
          <w:lang w:val="pt-BR"/>
        </w:rPr>
        <w:t>no que tange a qualidade dos materiais.</w:t>
      </w:r>
    </w:p>
    <w:p w14:paraId="376177B4">
      <w:pPr>
        <w:pStyle w:val="70"/>
        <w:spacing w:line="360" w:lineRule="auto"/>
        <w:jc w:val="both"/>
        <w:rPr>
          <w:rFonts w:ascii="Times New Roman" w:hAnsi="Times New Roman" w:cs="Times New Roman"/>
          <w:lang w:val="pt-BR"/>
        </w:rPr>
      </w:pPr>
    </w:p>
    <w:tbl>
      <w:tblPr>
        <w:tblStyle w:val="79"/>
        <w:tblW w:w="10366" w:type="dxa"/>
        <w:tblInd w:w="0" w:type="dxa"/>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Layout w:type="fixed"/>
        <w:tblCellMar>
          <w:top w:w="0" w:type="dxa"/>
          <w:left w:w="108" w:type="dxa"/>
          <w:bottom w:w="0" w:type="dxa"/>
          <w:right w:w="108" w:type="dxa"/>
        </w:tblCellMar>
      </w:tblPr>
      <w:tblGrid>
        <w:gridCol w:w="10366"/>
      </w:tblGrid>
      <w:tr w14:paraId="376177B6">
        <w:tblPrEx>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CellMar>
            <w:top w:w="0" w:type="dxa"/>
            <w:left w:w="108" w:type="dxa"/>
            <w:bottom w:w="0" w:type="dxa"/>
            <w:right w:w="108" w:type="dxa"/>
          </w:tblCellMar>
        </w:tblPrEx>
        <w:trPr>
          <w:trHeight w:val="367" w:hRule="atLeast"/>
        </w:trPr>
        <w:tc>
          <w:tcPr>
            <w:tcW w:w="10366" w:type="dxa"/>
            <w:shd w:val="clear" w:color="auto" w:fill="D0CECE" w:themeFill="background2" w:themeFillShade="E6"/>
            <w:vAlign w:val="center"/>
          </w:tcPr>
          <w:p w14:paraId="376177B5">
            <w:pPr>
              <w:pStyle w:val="21"/>
              <w:spacing w:line="360" w:lineRule="auto"/>
              <w:rPr>
                <w:rFonts w:ascii="Times New Roman" w:hAnsi="Times New Roman" w:cs="Times New Roman"/>
              </w:rPr>
            </w:pPr>
            <w:bookmarkStart w:id="5" w:name="_Toc194397101"/>
            <w:r>
              <w:rPr>
                <w:rFonts w:ascii="Times New Roman" w:hAnsi="Times New Roman" w:cs="Times New Roman"/>
              </w:rPr>
              <w:t>5. ESTIMATIVA DAS QUANTIDADES (art. 18º, §1º, INCISO “III”)</w:t>
            </w:r>
            <w:bookmarkEnd w:id="5"/>
          </w:p>
        </w:tc>
      </w:tr>
    </w:tbl>
    <w:p w14:paraId="376177B7">
      <w:pPr>
        <w:pStyle w:val="70"/>
        <w:spacing w:line="360" w:lineRule="auto"/>
        <w:jc w:val="both"/>
        <w:rPr>
          <w:rFonts w:ascii="Times New Roman" w:hAnsi="Times New Roman" w:cs="Times New Roman"/>
          <w:lang w:val="pt-BR"/>
        </w:rPr>
      </w:pPr>
    </w:p>
    <w:p w14:paraId="376177B8">
      <w:pPr>
        <w:spacing w:line="360" w:lineRule="auto"/>
        <w:ind w:left="2835" w:right="-1"/>
        <w:jc w:val="both"/>
        <w:rPr>
          <w:rFonts w:ascii="Times New Roman" w:hAnsi="Times New Roman" w:cs="Times New Roman"/>
          <w:sz w:val="18"/>
          <w:szCs w:val="14"/>
        </w:rPr>
      </w:pPr>
      <w:r>
        <w:rPr>
          <w:rFonts w:ascii="Times New Roman" w:hAnsi="Times New Roman" w:cs="Times New Roman"/>
          <w:b/>
          <w:bCs/>
          <w:sz w:val="18"/>
          <w:szCs w:val="14"/>
        </w:rPr>
        <w:t>Fundamentação:</w:t>
      </w:r>
      <w:r>
        <w:rPr>
          <w:rFonts w:ascii="Times New Roman" w:hAnsi="Times New Roman" w:cs="Times New Roman"/>
          <w:sz w:val="18"/>
          <w:szCs w:val="14"/>
        </w:rPr>
        <w:t xml:space="preserve"> estimativas das quantidades para a contratação, acompanhadas das memórias de cálculo e dos documentos que lhes dão suporte, que considerem interdependências com outras contratações, de modo a possibilitar economia de escala. (Inciso IV do § 1° do art. 18 da Lei 14.133/2021).</w:t>
      </w:r>
    </w:p>
    <w:p w14:paraId="376177B9">
      <w:pPr>
        <w:spacing w:line="360" w:lineRule="auto"/>
        <w:ind w:right="-1"/>
        <w:jc w:val="both"/>
        <w:rPr>
          <w:rFonts w:ascii="Times New Roman" w:hAnsi="Times New Roman" w:cs="Times New Roman"/>
          <w:szCs w:val="18"/>
        </w:rPr>
      </w:pPr>
      <w:r>
        <w:rPr>
          <w:rFonts w:ascii="Times New Roman" w:hAnsi="Times New Roman" w:cs="Times New Roman"/>
          <w:b/>
          <w:bCs/>
          <w:szCs w:val="18"/>
        </w:rPr>
        <w:tab/>
      </w:r>
    </w:p>
    <w:p w14:paraId="376177BA">
      <w:pPr>
        <w:spacing w:line="360" w:lineRule="auto"/>
        <w:ind w:right="-1" w:firstLine="720"/>
        <w:jc w:val="both"/>
        <w:rPr>
          <w:rFonts w:ascii="Times New Roman" w:hAnsi="Times New Roman" w:cs="Times New Roman"/>
          <w:szCs w:val="18"/>
        </w:rPr>
      </w:pPr>
      <w:r>
        <w:rPr>
          <w:rFonts w:ascii="Times New Roman" w:hAnsi="Times New Roman" w:cs="Times New Roman"/>
          <w:szCs w:val="18"/>
        </w:rPr>
        <w:t>A estimativa de valor da contratação será consolidada por meio de planilha orçamentária detalhada, a ser elaborada com base nos projetos e memoriais técnicos do empreendimento. A planilha contemplará os custos diretos e indiretos, bem como a aplicação do BDI (Bonificação e Despesas Indiretas), de acordo com a complexidade da obra e as exigências legais.</w:t>
      </w:r>
    </w:p>
    <w:p w14:paraId="376177BB">
      <w:pPr>
        <w:spacing w:line="360" w:lineRule="auto"/>
        <w:ind w:right="-1" w:firstLine="720"/>
        <w:jc w:val="both"/>
        <w:rPr>
          <w:rFonts w:ascii="Times New Roman" w:hAnsi="Times New Roman" w:cs="Times New Roman"/>
          <w:szCs w:val="18"/>
        </w:rPr>
      </w:pPr>
      <w:r>
        <w:rPr>
          <w:rFonts w:ascii="Times New Roman" w:hAnsi="Times New Roman" w:cs="Times New Roman"/>
          <w:szCs w:val="18"/>
        </w:rPr>
        <w:t>As quantidades dos serviços correlacionados ao objeto a ser licitado foram obtidas a partir da análise técnica dos referidos projetos, incluindo planta arquitetônica, estrutural, elétrica, hidráulica, prevenção e combate a incêndio, entre outros, assegurando maior precisão na elaboração do orçamento e no planejamento da execução.</w:t>
      </w:r>
    </w:p>
    <w:p w14:paraId="376177BC">
      <w:pPr>
        <w:spacing w:line="360" w:lineRule="auto"/>
        <w:ind w:right="-1" w:firstLine="720"/>
        <w:jc w:val="both"/>
        <w:rPr>
          <w:rFonts w:ascii="Times New Roman" w:hAnsi="Times New Roman" w:cs="Times New Roman"/>
          <w:szCs w:val="18"/>
        </w:rPr>
      </w:pPr>
      <w:r>
        <w:rPr>
          <w:rFonts w:ascii="Times New Roman" w:hAnsi="Times New Roman" w:cs="Times New Roman"/>
          <w:szCs w:val="18"/>
        </w:rPr>
        <w:t>A edificação conta com os seguintes ambientes e estruturas principais:</w:t>
      </w:r>
    </w:p>
    <w:tbl>
      <w:tblPr>
        <w:tblStyle w:val="12"/>
        <w:tblW w:w="8779" w:type="dxa"/>
        <w:jc w:val="center"/>
        <w:tblLayout w:type="autofit"/>
        <w:tblCellMar>
          <w:top w:w="0" w:type="dxa"/>
          <w:left w:w="70" w:type="dxa"/>
          <w:bottom w:w="0" w:type="dxa"/>
          <w:right w:w="70" w:type="dxa"/>
        </w:tblCellMar>
      </w:tblPr>
      <w:tblGrid>
        <w:gridCol w:w="1266"/>
        <w:gridCol w:w="7513"/>
      </w:tblGrid>
      <w:tr w14:paraId="376177BF">
        <w:tblPrEx>
          <w:tblCellMar>
            <w:top w:w="0" w:type="dxa"/>
            <w:left w:w="70" w:type="dxa"/>
            <w:bottom w:w="0" w:type="dxa"/>
            <w:right w:w="70" w:type="dxa"/>
          </w:tblCellMar>
        </w:tblPrEx>
        <w:trPr>
          <w:trHeight w:val="690" w:hRule="atLeast"/>
          <w:jc w:val="center"/>
        </w:trPr>
        <w:tc>
          <w:tcPr>
            <w:tcW w:w="1266" w:type="dxa"/>
            <w:tcBorders>
              <w:top w:val="single" w:color="auto" w:sz="8" w:space="0"/>
              <w:left w:val="single" w:color="auto" w:sz="8" w:space="0"/>
              <w:bottom w:val="single" w:color="auto" w:sz="8" w:space="0"/>
              <w:right w:val="single" w:color="auto" w:sz="8" w:space="0"/>
            </w:tcBorders>
            <w:shd w:val="clear" w:color="156082" w:fill="156082"/>
            <w:vAlign w:val="center"/>
          </w:tcPr>
          <w:p w14:paraId="376177BD">
            <w:pPr>
              <w:widowControl/>
              <w:suppressAutoHyphens w:val="0"/>
              <w:jc w:val="center"/>
              <w:rPr>
                <w:rFonts w:ascii="Times New Roman" w:hAnsi="Times New Roman" w:eastAsia="Times New Roman" w:cs="Times New Roman"/>
                <w:b/>
                <w:bCs/>
                <w:color w:val="FFFFFF"/>
                <w:sz w:val="18"/>
                <w:szCs w:val="18"/>
                <w:lang w:eastAsia="pt-BR"/>
              </w:rPr>
            </w:pPr>
            <w:r>
              <w:rPr>
                <w:rFonts w:ascii="Times New Roman" w:hAnsi="Times New Roman" w:eastAsia="Times New Roman" w:cs="Times New Roman"/>
                <w:b/>
                <w:bCs/>
                <w:color w:val="FFFFFF"/>
                <w:sz w:val="18"/>
                <w:szCs w:val="18"/>
                <w:lang w:eastAsia="pt-BR"/>
              </w:rPr>
              <w:t xml:space="preserve">ITEM </w:t>
            </w:r>
          </w:p>
        </w:tc>
        <w:tc>
          <w:tcPr>
            <w:tcW w:w="7513" w:type="dxa"/>
            <w:tcBorders>
              <w:top w:val="single" w:color="auto" w:sz="8" w:space="0"/>
              <w:left w:val="nil"/>
              <w:bottom w:val="single" w:color="auto" w:sz="8" w:space="0"/>
              <w:right w:val="single" w:color="auto" w:sz="8" w:space="0"/>
            </w:tcBorders>
            <w:shd w:val="clear" w:color="156082" w:fill="156082"/>
            <w:vAlign w:val="center"/>
          </w:tcPr>
          <w:p w14:paraId="376177BE">
            <w:pPr>
              <w:widowControl/>
              <w:suppressAutoHyphens w:val="0"/>
              <w:rPr>
                <w:rFonts w:ascii="Times New Roman" w:hAnsi="Times New Roman" w:eastAsia="Times New Roman" w:cs="Times New Roman"/>
                <w:b/>
                <w:bCs/>
                <w:color w:val="FFFFFF"/>
                <w:sz w:val="18"/>
                <w:szCs w:val="18"/>
                <w:lang w:eastAsia="pt-BR"/>
              </w:rPr>
            </w:pPr>
            <w:r>
              <w:rPr>
                <w:rFonts w:ascii="Times New Roman" w:hAnsi="Times New Roman" w:eastAsia="Times New Roman" w:cs="Times New Roman"/>
                <w:b/>
                <w:bCs/>
                <w:color w:val="FFFFFF"/>
                <w:sz w:val="18"/>
                <w:szCs w:val="18"/>
                <w:lang w:eastAsia="pt-BR"/>
              </w:rPr>
              <w:t>AMBIENTES PREVISTOS</w:t>
            </w:r>
          </w:p>
        </w:tc>
      </w:tr>
      <w:tr w14:paraId="376177C2">
        <w:tblPrEx>
          <w:tblCellMar>
            <w:top w:w="0" w:type="dxa"/>
            <w:left w:w="70" w:type="dxa"/>
            <w:bottom w:w="0" w:type="dxa"/>
            <w:right w:w="70" w:type="dxa"/>
          </w:tblCellMar>
        </w:tblPrEx>
        <w:trPr>
          <w:trHeight w:val="300" w:hRule="atLeast"/>
          <w:jc w:val="center"/>
        </w:trPr>
        <w:tc>
          <w:tcPr>
            <w:tcW w:w="1266" w:type="dxa"/>
            <w:tcBorders>
              <w:top w:val="single" w:color="auto" w:sz="4" w:space="0"/>
              <w:left w:val="single" w:color="auto" w:sz="8" w:space="0"/>
              <w:bottom w:val="single" w:color="auto" w:sz="4" w:space="0"/>
              <w:right w:val="single" w:color="auto" w:sz="8" w:space="0"/>
            </w:tcBorders>
            <w:shd w:val="clear" w:color="auto" w:fill="D8D8D8" w:themeFill="background1" w:themeFillShade="D9"/>
            <w:noWrap/>
            <w:vAlign w:val="center"/>
          </w:tcPr>
          <w:p w14:paraId="376177C0">
            <w:pPr>
              <w:widowControl/>
              <w:suppressAutoHyphens w:val="0"/>
              <w:jc w:val="center"/>
              <w:rPr>
                <w:rFonts w:ascii="Times New Roman" w:hAnsi="Times New Roman" w:eastAsia="Times New Roman" w:cs="Times New Roman"/>
                <w:color w:val="000000"/>
                <w:sz w:val="18"/>
                <w:szCs w:val="18"/>
                <w:lang w:eastAsia="pt-BR"/>
              </w:rPr>
            </w:pPr>
            <w:r>
              <w:rPr>
                <w:rFonts w:ascii="Times New Roman" w:hAnsi="Times New Roman" w:eastAsia="Times New Roman" w:cs="Times New Roman"/>
                <w:color w:val="000000"/>
                <w:sz w:val="18"/>
                <w:szCs w:val="18"/>
                <w:lang w:eastAsia="pt-BR"/>
              </w:rPr>
              <w:t>1</w:t>
            </w:r>
          </w:p>
        </w:tc>
        <w:tc>
          <w:tcPr>
            <w:tcW w:w="7513" w:type="dxa"/>
            <w:tcBorders>
              <w:top w:val="single" w:color="auto" w:sz="4" w:space="0"/>
              <w:left w:val="nil"/>
              <w:bottom w:val="single" w:color="auto" w:sz="4" w:space="0"/>
              <w:right w:val="single" w:color="auto" w:sz="8" w:space="0"/>
            </w:tcBorders>
            <w:shd w:val="clear" w:color="auto" w:fill="D8D8D8" w:themeFill="background1" w:themeFillShade="D9"/>
            <w:vAlign w:val="center"/>
          </w:tcPr>
          <w:p w14:paraId="376177C1">
            <w:pPr>
              <w:widowControl/>
              <w:suppressAutoHyphens w:val="0"/>
              <w:rPr>
                <w:rFonts w:ascii="Times New Roman" w:hAnsi="Times New Roman" w:eastAsia="Times New Roman" w:cs="Times New Roman"/>
                <w:color w:val="000000"/>
                <w:sz w:val="18"/>
                <w:szCs w:val="18"/>
                <w:lang w:eastAsia="pt-BR"/>
              </w:rPr>
            </w:pPr>
            <w:r>
              <w:rPr>
                <w:rFonts w:ascii="Times New Roman" w:hAnsi="Times New Roman" w:eastAsia="Times New Roman" w:cs="Times New Roman"/>
                <w:color w:val="000000"/>
                <w:sz w:val="18"/>
                <w:szCs w:val="18"/>
                <w:lang w:eastAsia="pt-BR"/>
              </w:rPr>
              <w:t>SALA DE CME</w:t>
            </w:r>
          </w:p>
        </w:tc>
      </w:tr>
      <w:tr w14:paraId="376177C5">
        <w:tblPrEx>
          <w:tblCellMar>
            <w:top w:w="0" w:type="dxa"/>
            <w:left w:w="70" w:type="dxa"/>
            <w:bottom w:w="0" w:type="dxa"/>
            <w:right w:w="70" w:type="dxa"/>
          </w:tblCellMar>
        </w:tblPrEx>
        <w:trPr>
          <w:trHeight w:val="300" w:hRule="atLeast"/>
          <w:jc w:val="center"/>
        </w:trPr>
        <w:tc>
          <w:tcPr>
            <w:tcW w:w="1266" w:type="dxa"/>
            <w:tcBorders>
              <w:top w:val="single" w:color="auto" w:sz="4" w:space="0"/>
              <w:left w:val="single" w:color="auto" w:sz="8" w:space="0"/>
              <w:bottom w:val="single" w:color="auto" w:sz="4" w:space="0"/>
              <w:right w:val="single" w:color="auto" w:sz="8" w:space="0"/>
            </w:tcBorders>
            <w:noWrap/>
            <w:vAlign w:val="center"/>
          </w:tcPr>
          <w:p w14:paraId="376177C3">
            <w:pPr>
              <w:widowControl/>
              <w:suppressAutoHyphens w:val="0"/>
              <w:jc w:val="center"/>
              <w:rPr>
                <w:rFonts w:ascii="Times New Roman" w:hAnsi="Times New Roman" w:eastAsia="Times New Roman" w:cs="Times New Roman"/>
                <w:color w:val="000000"/>
                <w:sz w:val="18"/>
                <w:szCs w:val="18"/>
                <w:lang w:eastAsia="pt-BR"/>
              </w:rPr>
            </w:pPr>
            <w:r>
              <w:rPr>
                <w:rFonts w:ascii="Times New Roman" w:hAnsi="Times New Roman" w:eastAsia="Times New Roman" w:cs="Times New Roman"/>
                <w:color w:val="000000"/>
                <w:sz w:val="18"/>
                <w:szCs w:val="18"/>
                <w:lang w:eastAsia="pt-BR"/>
              </w:rPr>
              <w:t>2</w:t>
            </w:r>
          </w:p>
        </w:tc>
        <w:tc>
          <w:tcPr>
            <w:tcW w:w="7513" w:type="dxa"/>
            <w:tcBorders>
              <w:top w:val="single" w:color="auto" w:sz="4" w:space="0"/>
              <w:left w:val="nil"/>
              <w:bottom w:val="single" w:color="auto" w:sz="4" w:space="0"/>
              <w:right w:val="single" w:color="auto" w:sz="8" w:space="0"/>
            </w:tcBorders>
            <w:vAlign w:val="center"/>
          </w:tcPr>
          <w:p w14:paraId="376177C4">
            <w:pPr>
              <w:widowControl/>
              <w:suppressAutoHyphens w:val="0"/>
              <w:rPr>
                <w:rFonts w:ascii="Times New Roman" w:hAnsi="Times New Roman" w:eastAsia="Times New Roman" w:cs="Times New Roman"/>
                <w:color w:val="000000"/>
                <w:sz w:val="18"/>
                <w:szCs w:val="18"/>
                <w:lang w:eastAsia="pt-BR"/>
              </w:rPr>
            </w:pPr>
            <w:r>
              <w:rPr>
                <w:rFonts w:ascii="Times New Roman" w:hAnsi="Times New Roman" w:eastAsia="Times New Roman" w:cs="Times New Roman"/>
                <w:color w:val="000000"/>
                <w:sz w:val="18"/>
                <w:szCs w:val="18"/>
                <w:lang w:eastAsia="pt-BR"/>
              </w:rPr>
              <w:t>SALA DE EXPURGO</w:t>
            </w:r>
          </w:p>
        </w:tc>
      </w:tr>
      <w:tr w14:paraId="376177C8">
        <w:tblPrEx>
          <w:tblCellMar>
            <w:top w:w="0" w:type="dxa"/>
            <w:left w:w="70" w:type="dxa"/>
            <w:bottom w:w="0" w:type="dxa"/>
            <w:right w:w="70" w:type="dxa"/>
          </w:tblCellMar>
        </w:tblPrEx>
        <w:trPr>
          <w:trHeight w:val="300" w:hRule="atLeast"/>
          <w:jc w:val="center"/>
        </w:trPr>
        <w:tc>
          <w:tcPr>
            <w:tcW w:w="1266" w:type="dxa"/>
            <w:tcBorders>
              <w:top w:val="single" w:color="auto" w:sz="4" w:space="0"/>
              <w:left w:val="single" w:color="auto" w:sz="8" w:space="0"/>
              <w:bottom w:val="single" w:color="auto" w:sz="4" w:space="0"/>
              <w:right w:val="single" w:color="auto" w:sz="8" w:space="0"/>
            </w:tcBorders>
            <w:shd w:val="clear" w:color="D9D9D9" w:fill="D9D9D9"/>
            <w:noWrap/>
            <w:vAlign w:val="center"/>
          </w:tcPr>
          <w:p w14:paraId="376177C6">
            <w:pPr>
              <w:widowControl/>
              <w:suppressAutoHyphens w:val="0"/>
              <w:jc w:val="center"/>
              <w:rPr>
                <w:rFonts w:ascii="Times New Roman" w:hAnsi="Times New Roman" w:eastAsia="Times New Roman" w:cs="Times New Roman"/>
                <w:color w:val="000000"/>
                <w:sz w:val="18"/>
                <w:szCs w:val="18"/>
                <w:lang w:eastAsia="pt-BR"/>
              </w:rPr>
            </w:pPr>
            <w:r>
              <w:rPr>
                <w:rFonts w:ascii="Times New Roman" w:hAnsi="Times New Roman" w:eastAsia="Times New Roman" w:cs="Times New Roman"/>
                <w:color w:val="000000"/>
                <w:sz w:val="18"/>
                <w:szCs w:val="18"/>
                <w:lang w:eastAsia="pt-BR"/>
              </w:rPr>
              <w:t>3</w:t>
            </w:r>
          </w:p>
        </w:tc>
        <w:tc>
          <w:tcPr>
            <w:tcW w:w="7513" w:type="dxa"/>
            <w:tcBorders>
              <w:top w:val="single" w:color="auto" w:sz="4" w:space="0"/>
              <w:left w:val="nil"/>
              <w:bottom w:val="single" w:color="auto" w:sz="4" w:space="0"/>
              <w:right w:val="single" w:color="auto" w:sz="8" w:space="0"/>
            </w:tcBorders>
            <w:shd w:val="clear" w:color="D9D9D9" w:fill="D9D9D9"/>
            <w:vAlign w:val="center"/>
          </w:tcPr>
          <w:p w14:paraId="376177C7">
            <w:pPr>
              <w:widowControl/>
              <w:suppressAutoHyphens w:val="0"/>
              <w:rPr>
                <w:rFonts w:ascii="Times New Roman" w:hAnsi="Times New Roman" w:eastAsia="Times New Roman" w:cs="Times New Roman"/>
                <w:color w:val="000000"/>
                <w:sz w:val="18"/>
                <w:szCs w:val="18"/>
                <w:lang w:eastAsia="pt-BR"/>
              </w:rPr>
            </w:pPr>
            <w:r>
              <w:rPr>
                <w:rFonts w:ascii="Times New Roman" w:hAnsi="Times New Roman" w:eastAsia="Times New Roman" w:cs="Times New Roman"/>
                <w:color w:val="000000"/>
                <w:sz w:val="18"/>
                <w:szCs w:val="18"/>
                <w:lang w:eastAsia="pt-BR"/>
              </w:rPr>
              <w:t xml:space="preserve">BANHEIRO MASCULINO </w:t>
            </w:r>
          </w:p>
        </w:tc>
      </w:tr>
      <w:tr w14:paraId="376177CB">
        <w:tblPrEx>
          <w:tblCellMar>
            <w:top w:w="0" w:type="dxa"/>
            <w:left w:w="70" w:type="dxa"/>
            <w:bottom w:w="0" w:type="dxa"/>
            <w:right w:w="70" w:type="dxa"/>
          </w:tblCellMar>
        </w:tblPrEx>
        <w:trPr>
          <w:trHeight w:val="300" w:hRule="atLeast"/>
          <w:jc w:val="center"/>
        </w:trPr>
        <w:tc>
          <w:tcPr>
            <w:tcW w:w="1266" w:type="dxa"/>
            <w:tcBorders>
              <w:top w:val="single" w:color="auto" w:sz="4" w:space="0"/>
              <w:left w:val="single" w:color="auto" w:sz="8" w:space="0"/>
              <w:bottom w:val="single" w:color="auto" w:sz="4" w:space="0"/>
              <w:right w:val="single" w:color="auto" w:sz="8" w:space="0"/>
            </w:tcBorders>
            <w:noWrap/>
            <w:vAlign w:val="center"/>
          </w:tcPr>
          <w:p w14:paraId="376177C9">
            <w:pPr>
              <w:widowControl/>
              <w:suppressAutoHyphens w:val="0"/>
              <w:jc w:val="center"/>
              <w:rPr>
                <w:rFonts w:ascii="Times New Roman" w:hAnsi="Times New Roman" w:eastAsia="Times New Roman" w:cs="Times New Roman"/>
                <w:color w:val="000000"/>
                <w:sz w:val="18"/>
                <w:szCs w:val="18"/>
                <w:lang w:eastAsia="pt-BR"/>
              </w:rPr>
            </w:pPr>
            <w:r>
              <w:rPr>
                <w:rFonts w:ascii="Times New Roman" w:hAnsi="Times New Roman" w:eastAsia="Times New Roman" w:cs="Times New Roman"/>
                <w:color w:val="000000"/>
                <w:sz w:val="18"/>
                <w:szCs w:val="18"/>
                <w:lang w:eastAsia="pt-BR"/>
              </w:rPr>
              <w:t>4</w:t>
            </w:r>
          </w:p>
        </w:tc>
        <w:tc>
          <w:tcPr>
            <w:tcW w:w="7513" w:type="dxa"/>
            <w:tcBorders>
              <w:top w:val="single" w:color="auto" w:sz="4" w:space="0"/>
              <w:left w:val="nil"/>
              <w:bottom w:val="single" w:color="auto" w:sz="4" w:space="0"/>
              <w:right w:val="single" w:color="auto" w:sz="8" w:space="0"/>
            </w:tcBorders>
            <w:vAlign w:val="center"/>
          </w:tcPr>
          <w:p w14:paraId="376177CA">
            <w:pPr>
              <w:widowControl/>
              <w:suppressAutoHyphens w:val="0"/>
              <w:rPr>
                <w:rFonts w:ascii="Times New Roman" w:hAnsi="Times New Roman" w:eastAsia="Times New Roman" w:cs="Times New Roman"/>
                <w:color w:val="000000"/>
                <w:sz w:val="18"/>
                <w:szCs w:val="18"/>
                <w:lang w:eastAsia="pt-BR"/>
              </w:rPr>
            </w:pPr>
            <w:r>
              <w:rPr>
                <w:rFonts w:ascii="Times New Roman" w:hAnsi="Times New Roman" w:eastAsia="Times New Roman" w:cs="Times New Roman"/>
                <w:color w:val="000000"/>
                <w:sz w:val="18"/>
                <w:szCs w:val="18"/>
                <w:lang w:eastAsia="pt-BR"/>
              </w:rPr>
              <w:t xml:space="preserve">BANHEIRO FEMININO </w:t>
            </w:r>
          </w:p>
        </w:tc>
      </w:tr>
      <w:tr w14:paraId="376177CE">
        <w:tblPrEx>
          <w:tblCellMar>
            <w:top w:w="0" w:type="dxa"/>
            <w:left w:w="70" w:type="dxa"/>
            <w:bottom w:w="0" w:type="dxa"/>
            <w:right w:w="70" w:type="dxa"/>
          </w:tblCellMar>
        </w:tblPrEx>
        <w:trPr>
          <w:trHeight w:val="300" w:hRule="atLeast"/>
          <w:jc w:val="center"/>
        </w:trPr>
        <w:tc>
          <w:tcPr>
            <w:tcW w:w="1266" w:type="dxa"/>
            <w:tcBorders>
              <w:top w:val="single" w:color="auto" w:sz="4" w:space="0"/>
              <w:left w:val="single" w:color="auto" w:sz="8" w:space="0"/>
              <w:bottom w:val="single" w:color="auto" w:sz="4" w:space="0"/>
              <w:right w:val="single" w:color="auto" w:sz="8" w:space="0"/>
            </w:tcBorders>
            <w:shd w:val="clear" w:color="auto" w:fill="D8D8D8" w:themeFill="background1" w:themeFillShade="D9"/>
            <w:noWrap/>
            <w:vAlign w:val="center"/>
          </w:tcPr>
          <w:p w14:paraId="376177CC">
            <w:pPr>
              <w:widowControl/>
              <w:suppressAutoHyphens w:val="0"/>
              <w:jc w:val="center"/>
              <w:rPr>
                <w:rFonts w:ascii="Times New Roman" w:hAnsi="Times New Roman" w:eastAsia="Times New Roman" w:cs="Times New Roman"/>
                <w:color w:val="000000"/>
                <w:sz w:val="18"/>
                <w:szCs w:val="18"/>
                <w:lang w:eastAsia="pt-BR"/>
              </w:rPr>
            </w:pPr>
            <w:r>
              <w:rPr>
                <w:rFonts w:ascii="Times New Roman" w:hAnsi="Times New Roman" w:eastAsia="Times New Roman" w:cs="Times New Roman"/>
                <w:color w:val="000000"/>
                <w:sz w:val="18"/>
                <w:szCs w:val="18"/>
                <w:lang w:eastAsia="pt-BR"/>
              </w:rPr>
              <w:t>5</w:t>
            </w:r>
          </w:p>
        </w:tc>
        <w:tc>
          <w:tcPr>
            <w:tcW w:w="7513" w:type="dxa"/>
            <w:tcBorders>
              <w:top w:val="single" w:color="auto" w:sz="4" w:space="0"/>
              <w:left w:val="nil"/>
              <w:bottom w:val="single" w:color="auto" w:sz="4" w:space="0"/>
              <w:right w:val="single" w:color="auto" w:sz="8" w:space="0"/>
            </w:tcBorders>
            <w:shd w:val="clear" w:color="auto" w:fill="D8D8D8" w:themeFill="background1" w:themeFillShade="D9"/>
            <w:vAlign w:val="center"/>
          </w:tcPr>
          <w:p w14:paraId="376177CD">
            <w:pPr>
              <w:widowControl/>
              <w:suppressAutoHyphens w:val="0"/>
              <w:rPr>
                <w:rFonts w:ascii="Times New Roman" w:hAnsi="Times New Roman" w:eastAsia="Times New Roman" w:cs="Times New Roman"/>
                <w:color w:val="000000"/>
                <w:sz w:val="18"/>
                <w:szCs w:val="18"/>
                <w:lang w:eastAsia="pt-BR"/>
              </w:rPr>
            </w:pPr>
            <w:r>
              <w:rPr>
                <w:rFonts w:ascii="Times New Roman" w:hAnsi="Times New Roman" w:eastAsia="Times New Roman" w:cs="Times New Roman"/>
                <w:color w:val="000000"/>
                <w:sz w:val="18"/>
                <w:szCs w:val="18"/>
                <w:lang w:eastAsia="pt-BR"/>
              </w:rPr>
              <w:t>BANHEIROS PCD</w:t>
            </w:r>
          </w:p>
        </w:tc>
      </w:tr>
      <w:tr w14:paraId="376177D1">
        <w:tblPrEx>
          <w:tblCellMar>
            <w:top w:w="0" w:type="dxa"/>
            <w:left w:w="70" w:type="dxa"/>
            <w:bottom w:w="0" w:type="dxa"/>
            <w:right w:w="70" w:type="dxa"/>
          </w:tblCellMar>
        </w:tblPrEx>
        <w:trPr>
          <w:trHeight w:val="300" w:hRule="atLeast"/>
          <w:jc w:val="center"/>
        </w:trPr>
        <w:tc>
          <w:tcPr>
            <w:tcW w:w="1266" w:type="dxa"/>
            <w:tcBorders>
              <w:top w:val="single" w:color="auto" w:sz="4" w:space="0"/>
              <w:left w:val="single" w:color="auto" w:sz="8" w:space="0"/>
              <w:bottom w:val="single" w:color="auto" w:sz="4" w:space="0"/>
              <w:right w:val="single" w:color="auto" w:sz="8" w:space="0"/>
            </w:tcBorders>
            <w:noWrap/>
            <w:vAlign w:val="center"/>
          </w:tcPr>
          <w:p w14:paraId="376177CF">
            <w:pPr>
              <w:widowControl/>
              <w:suppressAutoHyphens w:val="0"/>
              <w:jc w:val="center"/>
              <w:rPr>
                <w:rFonts w:ascii="Times New Roman" w:hAnsi="Times New Roman" w:eastAsia="Times New Roman" w:cs="Times New Roman"/>
                <w:color w:val="000000"/>
                <w:sz w:val="18"/>
                <w:szCs w:val="18"/>
                <w:lang w:eastAsia="pt-BR"/>
              </w:rPr>
            </w:pPr>
            <w:r>
              <w:rPr>
                <w:rFonts w:ascii="Times New Roman" w:hAnsi="Times New Roman" w:eastAsia="Times New Roman" w:cs="Times New Roman"/>
                <w:color w:val="000000"/>
                <w:sz w:val="18"/>
                <w:szCs w:val="18"/>
                <w:lang w:eastAsia="pt-BR"/>
              </w:rPr>
              <w:t>6</w:t>
            </w:r>
          </w:p>
        </w:tc>
        <w:tc>
          <w:tcPr>
            <w:tcW w:w="7513" w:type="dxa"/>
            <w:tcBorders>
              <w:top w:val="single" w:color="auto" w:sz="4" w:space="0"/>
              <w:left w:val="nil"/>
              <w:bottom w:val="single" w:color="auto" w:sz="4" w:space="0"/>
              <w:right w:val="single" w:color="auto" w:sz="8" w:space="0"/>
            </w:tcBorders>
            <w:vAlign w:val="center"/>
          </w:tcPr>
          <w:p w14:paraId="376177D0">
            <w:pPr>
              <w:widowControl/>
              <w:suppressAutoHyphens w:val="0"/>
              <w:rPr>
                <w:rFonts w:ascii="Times New Roman" w:hAnsi="Times New Roman" w:eastAsia="Times New Roman" w:cs="Times New Roman"/>
                <w:color w:val="000000"/>
                <w:sz w:val="18"/>
                <w:szCs w:val="18"/>
                <w:lang w:eastAsia="pt-BR"/>
              </w:rPr>
            </w:pPr>
            <w:r>
              <w:rPr>
                <w:rFonts w:ascii="Times New Roman" w:hAnsi="Times New Roman" w:eastAsia="Times New Roman" w:cs="Times New Roman"/>
                <w:color w:val="000000"/>
                <w:sz w:val="18"/>
                <w:szCs w:val="18"/>
                <w:lang w:eastAsia="pt-BR"/>
              </w:rPr>
              <w:t>BANHEIRO FUNCIONÁRIO</w:t>
            </w:r>
          </w:p>
        </w:tc>
      </w:tr>
      <w:tr w14:paraId="376177D4">
        <w:tblPrEx>
          <w:tblCellMar>
            <w:top w:w="0" w:type="dxa"/>
            <w:left w:w="70" w:type="dxa"/>
            <w:bottom w:w="0" w:type="dxa"/>
            <w:right w:w="70" w:type="dxa"/>
          </w:tblCellMar>
        </w:tblPrEx>
        <w:trPr>
          <w:trHeight w:val="300" w:hRule="atLeast"/>
          <w:jc w:val="center"/>
        </w:trPr>
        <w:tc>
          <w:tcPr>
            <w:tcW w:w="1266" w:type="dxa"/>
            <w:tcBorders>
              <w:top w:val="single" w:color="auto" w:sz="4" w:space="0"/>
              <w:left w:val="single" w:color="auto" w:sz="8" w:space="0"/>
              <w:bottom w:val="single" w:color="auto" w:sz="4" w:space="0"/>
              <w:right w:val="single" w:color="auto" w:sz="8" w:space="0"/>
            </w:tcBorders>
            <w:shd w:val="clear" w:color="auto" w:fill="D8D8D8" w:themeFill="background1" w:themeFillShade="D9"/>
            <w:noWrap/>
            <w:vAlign w:val="center"/>
          </w:tcPr>
          <w:p w14:paraId="376177D2">
            <w:pPr>
              <w:widowControl/>
              <w:suppressAutoHyphens w:val="0"/>
              <w:jc w:val="center"/>
              <w:rPr>
                <w:rFonts w:ascii="Times New Roman" w:hAnsi="Times New Roman" w:eastAsia="Times New Roman" w:cs="Times New Roman"/>
                <w:color w:val="000000"/>
                <w:sz w:val="18"/>
                <w:szCs w:val="18"/>
                <w:lang w:eastAsia="pt-BR"/>
              </w:rPr>
            </w:pPr>
            <w:r>
              <w:rPr>
                <w:rFonts w:ascii="Times New Roman" w:hAnsi="Times New Roman" w:eastAsia="Times New Roman" w:cs="Times New Roman"/>
                <w:color w:val="000000"/>
                <w:sz w:val="18"/>
                <w:szCs w:val="18"/>
                <w:lang w:eastAsia="pt-BR"/>
              </w:rPr>
              <w:t>7</w:t>
            </w:r>
          </w:p>
        </w:tc>
        <w:tc>
          <w:tcPr>
            <w:tcW w:w="7513" w:type="dxa"/>
            <w:tcBorders>
              <w:top w:val="single" w:color="auto" w:sz="4" w:space="0"/>
              <w:left w:val="nil"/>
              <w:bottom w:val="single" w:color="auto" w:sz="4" w:space="0"/>
              <w:right w:val="single" w:color="auto" w:sz="8" w:space="0"/>
            </w:tcBorders>
            <w:shd w:val="clear" w:color="auto" w:fill="D8D8D8" w:themeFill="background1" w:themeFillShade="D9"/>
            <w:vAlign w:val="center"/>
          </w:tcPr>
          <w:p w14:paraId="376177D3">
            <w:pPr>
              <w:widowControl/>
              <w:suppressAutoHyphens w:val="0"/>
              <w:rPr>
                <w:rFonts w:ascii="Times New Roman" w:hAnsi="Times New Roman" w:eastAsia="Times New Roman" w:cs="Times New Roman"/>
                <w:color w:val="000000"/>
                <w:sz w:val="18"/>
                <w:szCs w:val="18"/>
                <w:lang w:eastAsia="pt-BR"/>
              </w:rPr>
            </w:pPr>
            <w:r>
              <w:rPr>
                <w:rFonts w:ascii="Times New Roman" w:hAnsi="Times New Roman" w:eastAsia="Times New Roman" w:cs="Times New Roman"/>
                <w:color w:val="000000"/>
                <w:sz w:val="18"/>
                <w:szCs w:val="18"/>
                <w:lang w:eastAsia="pt-BR"/>
              </w:rPr>
              <w:t>COPA</w:t>
            </w:r>
          </w:p>
        </w:tc>
      </w:tr>
      <w:tr w14:paraId="376177D7">
        <w:tblPrEx>
          <w:tblCellMar>
            <w:top w:w="0" w:type="dxa"/>
            <w:left w:w="70" w:type="dxa"/>
            <w:bottom w:w="0" w:type="dxa"/>
            <w:right w:w="70" w:type="dxa"/>
          </w:tblCellMar>
        </w:tblPrEx>
        <w:trPr>
          <w:trHeight w:val="300" w:hRule="atLeast"/>
          <w:jc w:val="center"/>
        </w:trPr>
        <w:tc>
          <w:tcPr>
            <w:tcW w:w="1266" w:type="dxa"/>
            <w:tcBorders>
              <w:top w:val="single" w:color="auto" w:sz="4" w:space="0"/>
              <w:left w:val="single" w:color="auto" w:sz="8" w:space="0"/>
              <w:bottom w:val="single" w:color="auto" w:sz="4" w:space="0"/>
              <w:right w:val="single" w:color="auto" w:sz="8" w:space="0"/>
            </w:tcBorders>
            <w:noWrap/>
            <w:vAlign w:val="center"/>
          </w:tcPr>
          <w:p w14:paraId="376177D5">
            <w:pPr>
              <w:widowControl/>
              <w:suppressAutoHyphens w:val="0"/>
              <w:jc w:val="center"/>
              <w:rPr>
                <w:rFonts w:ascii="Times New Roman" w:hAnsi="Times New Roman" w:eastAsia="Times New Roman" w:cs="Times New Roman"/>
                <w:color w:val="000000"/>
                <w:sz w:val="18"/>
                <w:szCs w:val="18"/>
                <w:lang w:eastAsia="pt-BR"/>
              </w:rPr>
            </w:pPr>
            <w:r>
              <w:rPr>
                <w:rFonts w:ascii="Times New Roman" w:hAnsi="Times New Roman" w:eastAsia="Times New Roman" w:cs="Times New Roman"/>
                <w:color w:val="000000"/>
                <w:sz w:val="18"/>
                <w:szCs w:val="18"/>
                <w:lang w:eastAsia="pt-BR"/>
              </w:rPr>
              <w:t>8</w:t>
            </w:r>
          </w:p>
        </w:tc>
        <w:tc>
          <w:tcPr>
            <w:tcW w:w="7513" w:type="dxa"/>
            <w:tcBorders>
              <w:top w:val="single" w:color="auto" w:sz="4" w:space="0"/>
              <w:left w:val="nil"/>
              <w:bottom w:val="single" w:color="auto" w:sz="4" w:space="0"/>
              <w:right w:val="single" w:color="auto" w:sz="8" w:space="0"/>
            </w:tcBorders>
            <w:vAlign w:val="center"/>
          </w:tcPr>
          <w:p w14:paraId="376177D6">
            <w:pPr>
              <w:widowControl/>
              <w:suppressAutoHyphens w:val="0"/>
              <w:rPr>
                <w:rFonts w:ascii="Times New Roman" w:hAnsi="Times New Roman" w:eastAsia="Times New Roman" w:cs="Times New Roman"/>
                <w:color w:val="000000"/>
                <w:sz w:val="18"/>
                <w:szCs w:val="18"/>
                <w:lang w:eastAsia="pt-BR"/>
              </w:rPr>
            </w:pPr>
            <w:r>
              <w:rPr>
                <w:rFonts w:ascii="Times New Roman" w:hAnsi="Times New Roman" w:eastAsia="Times New Roman" w:cs="Times New Roman"/>
                <w:color w:val="000000"/>
                <w:sz w:val="18"/>
                <w:szCs w:val="18"/>
                <w:lang w:eastAsia="pt-BR"/>
              </w:rPr>
              <w:t>DML</w:t>
            </w:r>
          </w:p>
        </w:tc>
      </w:tr>
      <w:tr w14:paraId="376177DA">
        <w:tblPrEx>
          <w:tblCellMar>
            <w:top w:w="0" w:type="dxa"/>
            <w:left w:w="70" w:type="dxa"/>
            <w:bottom w:w="0" w:type="dxa"/>
            <w:right w:w="70" w:type="dxa"/>
          </w:tblCellMar>
        </w:tblPrEx>
        <w:trPr>
          <w:trHeight w:val="300" w:hRule="atLeast"/>
          <w:jc w:val="center"/>
        </w:trPr>
        <w:tc>
          <w:tcPr>
            <w:tcW w:w="1266" w:type="dxa"/>
            <w:tcBorders>
              <w:top w:val="single" w:color="auto" w:sz="4" w:space="0"/>
              <w:left w:val="single" w:color="auto" w:sz="8" w:space="0"/>
              <w:bottom w:val="single" w:color="auto" w:sz="4" w:space="0"/>
              <w:right w:val="single" w:color="auto" w:sz="8" w:space="0"/>
            </w:tcBorders>
            <w:noWrap/>
            <w:vAlign w:val="center"/>
          </w:tcPr>
          <w:p w14:paraId="376177D8">
            <w:pPr>
              <w:widowControl/>
              <w:suppressAutoHyphens w:val="0"/>
              <w:jc w:val="center"/>
              <w:rPr>
                <w:rFonts w:ascii="Times New Roman" w:hAnsi="Times New Roman" w:eastAsia="Times New Roman" w:cs="Times New Roman"/>
                <w:color w:val="000000"/>
                <w:sz w:val="18"/>
                <w:szCs w:val="18"/>
                <w:lang w:eastAsia="pt-BR"/>
              </w:rPr>
            </w:pPr>
            <w:r>
              <w:rPr>
                <w:rFonts w:ascii="Times New Roman" w:hAnsi="Times New Roman" w:eastAsia="Times New Roman" w:cs="Times New Roman"/>
                <w:color w:val="000000"/>
                <w:sz w:val="18"/>
                <w:szCs w:val="18"/>
                <w:lang w:eastAsia="pt-BR"/>
              </w:rPr>
              <w:t>10</w:t>
            </w:r>
          </w:p>
        </w:tc>
        <w:tc>
          <w:tcPr>
            <w:tcW w:w="7513" w:type="dxa"/>
            <w:tcBorders>
              <w:top w:val="single" w:color="auto" w:sz="4" w:space="0"/>
              <w:left w:val="nil"/>
              <w:bottom w:val="single" w:color="auto" w:sz="4" w:space="0"/>
              <w:right w:val="single" w:color="auto" w:sz="8" w:space="0"/>
            </w:tcBorders>
            <w:vAlign w:val="center"/>
          </w:tcPr>
          <w:p w14:paraId="376177D9">
            <w:pPr>
              <w:widowControl/>
              <w:suppressAutoHyphens w:val="0"/>
              <w:rPr>
                <w:rFonts w:ascii="Times New Roman" w:hAnsi="Times New Roman" w:eastAsia="Times New Roman" w:cs="Times New Roman"/>
                <w:color w:val="000000"/>
                <w:sz w:val="18"/>
                <w:szCs w:val="18"/>
                <w:lang w:eastAsia="pt-BR"/>
              </w:rPr>
            </w:pPr>
            <w:r>
              <w:rPr>
                <w:rFonts w:ascii="Times New Roman" w:hAnsi="Times New Roman" w:eastAsia="Times New Roman" w:cs="Times New Roman"/>
                <w:color w:val="000000"/>
                <w:sz w:val="18"/>
                <w:szCs w:val="18"/>
                <w:lang w:eastAsia="pt-BR"/>
              </w:rPr>
              <w:t>CONSULTÓRIO ODONTOLÓGICO</w:t>
            </w:r>
          </w:p>
        </w:tc>
      </w:tr>
      <w:tr w14:paraId="376177DD">
        <w:tblPrEx>
          <w:tblCellMar>
            <w:top w:w="0" w:type="dxa"/>
            <w:left w:w="70" w:type="dxa"/>
            <w:bottom w:w="0" w:type="dxa"/>
            <w:right w:w="70" w:type="dxa"/>
          </w:tblCellMar>
        </w:tblPrEx>
        <w:trPr>
          <w:trHeight w:val="300" w:hRule="atLeast"/>
          <w:jc w:val="center"/>
        </w:trPr>
        <w:tc>
          <w:tcPr>
            <w:tcW w:w="1266" w:type="dxa"/>
            <w:tcBorders>
              <w:top w:val="single" w:color="auto" w:sz="4" w:space="0"/>
              <w:left w:val="single" w:color="auto" w:sz="8" w:space="0"/>
              <w:bottom w:val="single" w:color="auto" w:sz="4" w:space="0"/>
              <w:right w:val="single" w:color="auto" w:sz="8" w:space="0"/>
            </w:tcBorders>
            <w:shd w:val="clear" w:color="auto" w:fill="D8D8D8" w:themeFill="background1" w:themeFillShade="D9"/>
            <w:noWrap/>
            <w:vAlign w:val="center"/>
          </w:tcPr>
          <w:p w14:paraId="376177DB">
            <w:pPr>
              <w:widowControl/>
              <w:suppressAutoHyphens w:val="0"/>
              <w:jc w:val="center"/>
              <w:rPr>
                <w:rFonts w:ascii="Times New Roman" w:hAnsi="Times New Roman" w:eastAsia="Times New Roman" w:cs="Times New Roman"/>
                <w:color w:val="000000"/>
                <w:sz w:val="18"/>
                <w:szCs w:val="18"/>
                <w:lang w:eastAsia="pt-BR"/>
              </w:rPr>
            </w:pPr>
            <w:r>
              <w:rPr>
                <w:rFonts w:ascii="Times New Roman" w:hAnsi="Times New Roman" w:eastAsia="Times New Roman" w:cs="Times New Roman"/>
                <w:color w:val="000000"/>
                <w:sz w:val="18"/>
                <w:szCs w:val="18"/>
                <w:lang w:eastAsia="pt-BR"/>
              </w:rPr>
              <w:t>11</w:t>
            </w:r>
          </w:p>
        </w:tc>
        <w:tc>
          <w:tcPr>
            <w:tcW w:w="7513" w:type="dxa"/>
            <w:tcBorders>
              <w:top w:val="single" w:color="auto" w:sz="4" w:space="0"/>
              <w:left w:val="nil"/>
              <w:bottom w:val="single" w:color="auto" w:sz="4" w:space="0"/>
              <w:right w:val="single" w:color="auto" w:sz="8" w:space="0"/>
            </w:tcBorders>
            <w:shd w:val="clear" w:color="auto" w:fill="D8D8D8" w:themeFill="background1" w:themeFillShade="D9"/>
            <w:vAlign w:val="center"/>
          </w:tcPr>
          <w:p w14:paraId="376177DC">
            <w:pPr>
              <w:widowControl/>
              <w:suppressAutoHyphens w:val="0"/>
              <w:rPr>
                <w:rFonts w:ascii="Times New Roman" w:hAnsi="Times New Roman" w:eastAsia="Times New Roman" w:cs="Times New Roman"/>
                <w:color w:val="000000"/>
                <w:sz w:val="18"/>
                <w:szCs w:val="18"/>
                <w:lang w:eastAsia="pt-BR"/>
              </w:rPr>
            </w:pPr>
            <w:r>
              <w:rPr>
                <w:rFonts w:ascii="Times New Roman" w:hAnsi="Times New Roman" w:eastAsia="Times New Roman" w:cs="Times New Roman"/>
                <w:color w:val="000000"/>
                <w:sz w:val="18"/>
                <w:szCs w:val="18"/>
                <w:lang w:eastAsia="pt-BR"/>
              </w:rPr>
              <w:t>CONSULTÓRIO MÉDICO</w:t>
            </w:r>
          </w:p>
        </w:tc>
      </w:tr>
      <w:tr w14:paraId="376177E0">
        <w:tblPrEx>
          <w:tblCellMar>
            <w:top w:w="0" w:type="dxa"/>
            <w:left w:w="70" w:type="dxa"/>
            <w:bottom w:w="0" w:type="dxa"/>
            <w:right w:w="70" w:type="dxa"/>
          </w:tblCellMar>
        </w:tblPrEx>
        <w:trPr>
          <w:trHeight w:val="300" w:hRule="atLeast"/>
          <w:jc w:val="center"/>
        </w:trPr>
        <w:tc>
          <w:tcPr>
            <w:tcW w:w="1266" w:type="dxa"/>
            <w:tcBorders>
              <w:top w:val="single" w:color="auto" w:sz="4" w:space="0"/>
              <w:left w:val="single" w:color="auto" w:sz="8" w:space="0"/>
              <w:bottom w:val="single" w:color="auto" w:sz="4" w:space="0"/>
              <w:right w:val="single" w:color="auto" w:sz="8" w:space="0"/>
            </w:tcBorders>
            <w:shd w:val="clear" w:color="auto" w:fill="D8D8D8" w:themeFill="background1" w:themeFillShade="D9"/>
            <w:noWrap/>
            <w:vAlign w:val="center"/>
          </w:tcPr>
          <w:p w14:paraId="376177DE">
            <w:pPr>
              <w:widowControl/>
              <w:suppressAutoHyphens w:val="0"/>
              <w:jc w:val="center"/>
              <w:rPr>
                <w:rFonts w:ascii="Times New Roman" w:hAnsi="Times New Roman" w:eastAsia="Times New Roman" w:cs="Times New Roman"/>
                <w:color w:val="000000"/>
                <w:sz w:val="18"/>
                <w:szCs w:val="18"/>
                <w:lang w:eastAsia="pt-BR"/>
              </w:rPr>
            </w:pPr>
            <w:r>
              <w:rPr>
                <w:rFonts w:ascii="Times New Roman" w:hAnsi="Times New Roman" w:eastAsia="Times New Roman" w:cs="Times New Roman"/>
                <w:color w:val="000000"/>
                <w:sz w:val="18"/>
                <w:szCs w:val="18"/>
                <w:lang w:eastAsia="pt-BR"/>
              </w:rPr>
              <w:t>12</w:t>
            </w:r>
          </w:p>
        </w:tc>
        <w:tc>
          <w:tcPr>
            <w:tcW w:w="7513" w:type="dxa"/>
            <w:tcBorders>
              <w:top w:val="single" w:color="auto" w:sz="4" w:space="0"/>
              <w:left w:val="nil"/>
              <w:bottom w:val="single" w:color="auto" w:sz="4" w:space="0"/>
              <w:right w:val="single" w:color="auto" w:sz="8" w:space="0"/>
            </w:tcBorders>
            <w:shd w:val="clear" w:color="auto" w:fill="D8D8D8" w:themeFill="background1" w:themeFillShade="D9"/>
            <w:vAlign w:val="center"/>
          </w:tcPr>
          <w:p w14:paraId="376177DF">
            <w:pPr>
              <w:widowControl/>
              <w:suppressAutoHyphens w:val="0"/>
              <w:rPr>
                <w:rFonts w:ascii="Times New Roman" w:hAnsi="Times New Roman" w:eastAsia="Times New Roman" w:cs="Times New Roman"/>
                <w:color w:val="000000"/>
                <w:sz w:val="18"/>
                <w:szCs w:val="18"/>
                <w:lang w:eastAsia="pt-BR"/>
              </w:rPr>
            </w:pPr>
            <w:r>
              <w:rPr>
                <w:rFonts w:ascii="Times New Roman" w:hAnsi="Times New Roman" w:eastAsia="Times New Roman" w:cs="Times New Roman"/>
                <w:color w:val="000000"/>
                <w:sz w:val="18"/>
                <w:szCs w:val="18"/>
                <w:lang w:eastAsia="pt-BR"/>
              </w:rPr>
              <w:t>SALA DE TRIAGEM</w:t>
            </w:r>
          </w:p>
        </w:tc>
      </w:tr>
      <w:tr w14:paraId="376177E3">
        <w:tblPrEx>
          <w:tblCellMar>
            <w:top w:w="0" w:type="dxa"/>
            <w:left w:w="70" w:type="dxa"/>
            <w:bottom w:w="0" w:type="dxa"/>
            <w:right w:w="70" w:type="dxa"/>
          </w:tblCellMar>
        </w:tblPrEx>
        <w:trPr>
          <w:trHeight w:val="300" w:hRule="atLeast"/>
          <w:jc w:val="center"/>
        </w:trPr>
        <w:tc>
          <w:tcPr>
            <w:tcW w:w="1266" w:type="dxa"/>
            <w:tcBorders>
              <w:top w:val="single" w:color="auto" w:sz="4" w:space="0"/>
              <w:left w:val="single" w:color="auto" w:sz="8" w:space="0"/>
              <w:bottom w:val="single" w:color="auto" w:sz="4" w:space="0"/>
              <w:right w:val="single" w:color="auto" w:sz="8" w:space="0"/>
            </w:tcBorders>
            <w:noWrap/>
            <w:vAlign w:val="center"/>
          </w:tcPr>
          <w:p w14:paraId="376177E1">
            <w:pPr>
              <w:widowControl/>
              <w:suppressAutoHyphens w:val="0"/>
              <w:jc w:val="center"/>
              <w:rPr>
                <w:rFonts w:ascii="Times New Roman" w:hAnsi="Times New Roman" w:eastAsia="Times New Roman" w:cs="Times New Roman"/>
                <w:color w:val="000000"/>
                <w:sz w:val="18"/>
                <w:szCs w:val="18"/>
                <w:lang w:eastAsia="pt-BR"/>
              </w:rPr>
            </w:pPr>
            <w:r>
              <w:rPr>
                <w:rFonts w:ascii="Times New Roman" w:hAnsi="Times New Roman" w:eastAsia="Times New Roman" w:cs="Times New Roman"/>
                <w:color w:val="000000"/>
                <w:sz w:val="18"/>
                <w:szCs w:val="18"/>
                <w:lang w:eastAsia="pt-BR"/>
              </w:rPr>
              <w:t>13</w:t>
            </w:r>
          </w:p>
        </w:tc>
        <w:tc>
          <w:tcPr>
            <w:tcW w:w="7513" w:type="dxa"/>
            <w:tcBorders>
              <w:top w:val="single" w:color="auto" w:sz="4" w:space="0"/>
              <w:left w:val="nil"/>
              <w:bottom w:val="single" w:color="auto" w:sz="4" w:space="0"/>
              <w:right w:val="single" w:color="auto" w:sz="8" w:space="0"/>
            </w:tcBorders>
            <w:vAlign w:val="center"/>
          </w:tcPr>
          <w:p w14:paraId="376177E2">
            <w:pPr>
              <w:widowControl/>
              <w:suppressAutoHyphens w:val="0"/>
              <w:rPr>
                <w:rFonts w:ascii="Times New Roman" w:hAnsi="Times New Roman" w:eastAsia="Times New Roman" w:cs="Times New Roman"/>
                <w:color w:val="000000"/>
                <w:sz w:val="18"/>
                <w:szCs w:val="18"/>
                <w:lang w:eastAsia="pt-BR"/>
              </w:rPr>
            </w:pPr>
            <w:r>
              <w:rPr>
                <w:rFonts w:ascii="Times New Roman" w:hAnsi="Times New Roman" w:eastAsia="Times New Roman" w:cs="Times New Roman"/>
                <w:color w:val="000000"/>
                <w:sz w:val="18"/>
                <w:szCs w:val="18"/>
                <w:lang w:eastAsia="pt-BR"/>
              </w:rPr>
              <w:t xml:space="preserve">SALA DE INALAÇÃO </w:t>
            </w:r>
          </w:p>
        </w:tc>
      </w:tr>
      <w:tr w14:paraId="376177E6">
        <w:tblPrEx>
          <w:tblCellMar>
            <w:top w:w="0" w:type="dxa"/>
            <w:left w:w="70" w:type="dxa"/>
            <w:bottom w:w="0" w:type="dxa"/>
            <w:right w:w="70" w:type="dxa"/>
          </w:tblCellMar>
        </w:tblPrEx>
        <w:trPr>
          <w:trHeight w:val="300" w:hRule="atLeast"/>
          <w:jc w:val="center"/>
        </w:trPr>
        <w:tc>
          <w:tcPr>
            <w:tcW w:w="1266" w:type="dxa"/>
            <w:tcBorders>
              <w:top w:val="single" w:color="auto" w:sz="4" w:space="0"/>
              <w:left w:val="single" w:color="auto" w:sz="8" w:space="0"/>
              <w:bottom w:val="single" w:color="auto" w:sz="4" w:space="0"/>
              <w:right w:val="single" w:color="auto" w:sz="8" w:space="0"/>
            </w:tcBorders>
            <w:shd w:val="clear" w:color="auto" w:fill="D8D8D8" w:themeFill="background1" w:themeFillShade="D9"/>
            <w:noWrap/>
            <w:vAlign w:val="center"/>
          </w:tcPr>
          <w:p w14:paraId="376177E4">
            <w:pPr>
              <w:widowControl/>
              <w:suppressAutoHyphens w:val="0"/>
              <w:jc w:val="center"/>
              <w:rPr>
                <w:rFonts w:ascii="Times New Roman" w:hAnsi="Times New Roman" w:eastAsia="Times New Roman" w:cs="Times New Roman"/>
                <w:color w:val="000000"/>
                <w:sz w:val="18"/>
                <w:szCs w:val="18"/>
                <w:lang w:eastAsia="pt-BR"/>
              </w:rPr>
            </w:pPr>
            <w:r>
              <w:rPr>
                <w:rFonts w:ascii="Times New Roman" w:hAnsi="Times New Roman" w:eastAsia="Times New Roman" w:cs="Times New Roman"/>
                <w:color w:val="000000"/>
                <w:sz w:val="18"/>
                <w:szCs w:val="18"/>
                <w:lang w:eastAsia="pt-BR"/>
              </w:rPr>
              <w:t>14</w:t>
            </w:r>
          </w:p>
        </w:tc>
        <w:tc>
          <w:tcPr>
            <w:tcW w:w="7513" w:type="dxa"/>
            <w:tcBorders>
              <w:top w:val="single" w:color="auto" w:sz="4" w:space="0"/>
              <w:left w:val="nil"/>
              <w:bottom w:val="single" w:color="auto" w:sz="4" w:space="0"/>
              <w:right w:val="single" w:color="auto" w:sz="8" w:space="0"/>
            </w:tcBorders>
            <w:shd w:val="clear" w:color="auto" w:fill="D8D8D8" w:themeFill="background1" w:themeFillShade="D9"/>
            <w:vAlign w:val="center"/>
          </w:tcPr>
          <w:p w14:paraId="376177E5">
            <w:pPr>
              <w:widowControl/>
              <w:suppressAutoHyphens w:val="0"/>
              <w:rPr>
                <w:rFonts w:ascii="Times New Roman" w:hAnsi="Times New Roman" w:eastAsia="Times New Roman" w:cs="Times New Roman"/>
                <w:color w:val="000000"/>
                <w:sz w:val="18"/>
                <w:szCs w:val="18"/>
                <w:lang w:eastAsia="pt-BR"/>
              </w:rPr>
            </w:pPr>
            <w:r>
              <w:rPr>
                <w:rFonts w:ascii="Times New Roman" w:hAnsi="Times New Roman" w:eastAsia="Times New Roman" w:cs="Times New Roman"/>
                <w:color w:val="000000"/>
                <w:sz w:val="18"/>
                <w:szCs w:val="18"/>
                <w:lang w:eastAsia="pt-BR"/>
              </w:rPr>
              <w:t>RECEPÇÃO</w:t>
            </w:r>
          </w:p>
        </w:tc>
      </w:tr>
      <w:tr w14:paraId="376177E9">
        <w:tblPrEx>
          <w:tblCellMar>
            <w:top w:w="0" w:type="dxa"/>
            <w:left w:w="70" w:type="dxa"/>
            <w:bottom w:w="0" w:type="dxa"/>
            <w:right w:w="70" w:type="dxa"/>
          </w:tblCellMar>
        </w:tblPrEx>
        <w:trPr>
          <w:trHeight w:val="300" w:hRule="atLeast"/>
          <w:jc w:val="center"/>
        </w:trPr>
        <w:tc>
          <w:tcPr>
            <w:tcW w:w="1266" w:type="dxa"/>
            <w:tcBorders>
              <w:top w:val="single" w:color="auto" w:sz="4" w:space="0"/>
              <w:left w:val="single" w:color="auto" w:sz="8" w:space="0"/>
              <w:bottom w:val="single" w:color="auto" w:sz="4" w:space="0"/>
              <w:right w:val="single" w:color="auto" w:sz="8" w:space="0"/>
            </w:tcBorders>
            <w:noWrap/>
            <w:vAlign w:val="center"/>
          </w:tcPr>
          <w:p w14:paraId="376177E7">
            <w:pPr>
              <w:widowControl/>
              <w:suppressAutoHyphens w:val="0"/>
              <w:jc w:val="center"/>
              <w:rPr>
                <w:rFonts w:ascii="Times New Roman" w:hAnsi="Times New Roman" w:eastAsia="Times New Roman" w:cs="Times New Roman"/>
                <w:color w:val="000000"/>
                <w:sz w:val="18"/>
                <w:szCs w:val="18"/>
                <w:lang w:eastAsia="pt-BR"/>
              </w:rPr>
            </w:pPr>
            <w:r>
              <w:rPr>
                <w:rFonts w:ascii="Times New Roman" w:hAnsi="Times New Roman" w:eastAsia="Times New Roman" w:cs="Times New Roman"/>
                <w:color w:val="000000"/>
                <w:sz w:val="18"/>
                <w:szCs w:val="18"/>
                <w:lang w:eastAsia="pt-BR"/>
              </w:rPr>
              <w:t>15</w:t>
            </w:r>
          </w:p>
        </w:tc>
        <w:tc>
          <w:tcPr>
            <w:tcW w:w="7513" w:type="dxa"/>
            <w:tcBorders>
              <w:top w:val="single" w:color="auto" w:sz="4" w:space="0"/>
              <w:left w:val="nil"/>
              <w:bottom w:val="single" w:color="auto" w:sz="4" w:space="0"/>
              <w:right w:val="single" w:color="auto" w:sz="8" w:space="0"/>
            </w:tcBorders>
            <w:vAlign w:val="center"/>
          </w:tcPr>
          <w:p w14:paraId="376177E8">
            <w:pPr>
              <w:widowControl/>
              <w:suppressAutoHyphens w:val="0"/>
              <w:rPr>
                <w:rFonts w:ascii="Times New Roman" w:hAnsi="Times New Roman" w:eastAsia="Times New Roman" w:cs="Times New Roman"/>
                <w:color w:val="000000"/>
                <w:sz w:val="18"/>
                <w:szCs w:val="18"/>
                <w:lang w:eastAsia="pt-BR"/>
              </w:rPr>
            </w:pPr>
            <w:r>
              <w:rPr>
                <w:rFonts w:ascii="Times New Roman" w:hAnsi="Times New Roman" w:eastAsia="Times New Roman" w:cs="Times New Roman"/>
                <w:color w:val="000000"/>
                <w:sz w:val="18"/>
                <w:szCs w:val="18"/>
                <w:lang w:eastAsia="pt-BR"/>
              </w:rPr>
              <w:t>FÁRMACIA</w:t>
            </w:r>
          </w:p>
        </w:tc>
      </w:tr>
      <w:tr w14:paraId="376177EC">
        <w:tblPrEx>
          <w:tblCellMar>
            <w:top w:w="0" w:type="dxa"/>
            <w:left w:w="70" w:type="dxa"/>
            <w:bottom w:w="0" w:type="dxa"/>
            <w:right w:w="70" w:type="dxa"/>
          </w:tblCellMar>
        </w:tblPrEx>
        <w:trPr>
          <w:trHeight w:val="300" w:hRule="atLeast"/>
          <w:jc w:val="center"/>
        </w:trPr>
        <w:tc>
          <w:tcPr>
            <w:tcW w:w="1266" w:type="dxa"/>
            <w:tcBorders>
              <w:top w:val="single" w:color="auto" w:sz="4" w:space="0"/>
              <w:left w:val="single" w:color="auto" w:sz="8" w:space="0"/>
              <w:bottom w:val="single" w:color="auto" w:sz="4" w:space="0"/>
              <w:right w:val="single" w:color="auto" w:sz="8" w:space="0"/>
            </w:tcBorders>
            <w:shd w:val="clear" w:color="auto" w:fill="D8D8D8" w:themeFill="background1" w:themeFillShade="D9"/>
            <w:noWrap/>
            <w:vAlign w:val="center"/>
          </w:tcPr>
          <w:p w14:paraId="376177EA">
            <w:pPr>
              <w:widowControl/>
              <w:suppressAutoHyphens w:val="0"/>
              <w:jc w:val="center"/>
              <w:rPr>
                <w:rFonts w:ascii="Times New Roman" w:hAnsi="Times New Roman" w:eastAsia="Times New Roman" w:cs="Times New Roman"/>
                <w:color w:val="000000"/>
                <w:sz w:val="18"/>
                <w:szCs w:val="18"/>
                <w:lang w:eastAsia="pt-BR"/>
              </w:rPr>
            </w:pPr>
            <w:r>
              <w:rPr>
                <w:rFonts w:ascii="Times New Roman" w:hAnsi="Times New Roman" w:eastAsia="Times New Roman" w:cs="Times New Roman"/>
                <w:color w:val="000000"/>
                <w:sz w:val="18"/>
                <w:szCs w:val="18"/>
                <w:lang w:eastAsia="pt-BR"/>
              </w:rPr>
              <w:t>16</w:t>
            </w:r>
          </w:p>
        </w:tc>
        <w:tc>
          <w:tcPr>
            <w:tcW w:w="7513" w:type="dxa"/>
            <w:tcBorders>
              <w:top w:val="single" w:color="auto" w:sz="4" w:space="0"/>
              <w:left w:val="nil"/>
              <w:bottom w:val="single" w:color="auto" w:sz="4" w:space="0"/>
              <w:right w:val="single" w:color="auto" w:sz="8" w:space="0"/>
            </w:tcBorders>
            <w:shd w:val="clear" w:color="auto" w:fill="D8D8D8" w:themeFill="background1" w:themeFillShade="D9"/>
            <w:vAlign w:val="center"/>
          </w:tcPr>
          <w:p w14:paraId="376177EB">
            <w:pPr>
              <w:widowControl/>
              <w:suppressAutoHyphens w:val="0"/>
              <w:rPr>
                <w:rFonts w:ascii="Times New Roman" w:hAnsi="Times New Roman" w:eastAsia="Times New Roman" w:cs="Times New Roman"/>
                <w:color w:val="000000"/>
                <w:sz w:val="18"/>
                <w:szCs w:val="18"/>
                <w:lang w:eastAsia="pt-BR"/>
              </w:rPr>
            </w:pPr>
            <w:r>
              <w:rPr>
                <w:rFonts w:ascii="Times New Roman" w:hAnsi="Times New Roman" w:eastAsia="Times New Roman" w:cs="Times New Roman"/>
                <w:color w:val="000000"/>
                <w:sz w:val="18"/>
                <w:szCs w:val="18"/>
                <w:lang w:eastAsia="pt-BR"/>
              </w:rPr>
              <w:t>ATIVIDADES COLETIVAS</w:t>
            </w:r>
          </w:p>
        </w:tc>
      </w:tr>
      <w:tr w14:paraId="376177EF">
        <w:tblPrEx>
          <w:tblCellMar>
            <w:top w:w="0" w:type="dxa"/>
            <w:left w:w="70" w:type="dxa"/>
            <w:bottom w:w="0" w:type="dxa"/>
            <w:right w:w="70" w:type="dxa"/>
          </w:tblCellMar>
        </w:tblPrEx>
        <w:trPr>
          <w:trHeight w:val="300" w:hRule="atLeast"/>
          <w:jc w:val="center"/>
        </w:trPr>
        <w:tc>
          <w:tcPr>
            <w:tcW w:w="1266" w:type="dxa"/>
            <w:tcBorders>
              <w:top w:val="single" w:color="auto" w:sz="4" w:space="0"/>
              <w:left w:val="single" w:color="auto" w:sz="8" w:space="0"/>
              <w:bottom w:val="single" w:color="auto" w:sz="4" w:space="0"/>
              <w:right w:val="single" w:color="auto" w:sz="8" w:space="0"/>
            </w:tcBorders>
            <w:noWrap/>
            <w:vAlign w:val="center"/>
          </w:tcPr>
          <w:p w14:paraId="376177ED">
            <w:pPr>
              <w:widowControl/>
              <w:suppressAutoHyphens w:val="0"/>
              <w:jc w:val="center"/>
              <w:rPr>
                <w:rFonts w:ascii="Times New Roman" w:hAnsi="Times New Roman" w:eastAsia="Times New Roman" w:cs="Times New Roman"/>
                <w:color w:val="000000"/>
                <w:sz w:val="18"/>
                <w:szCs w:val="18"/>
                <w:lang w:eastAsia="pt-BR"/>
              </w:rPr>
            </w:pPr>
            <w:r>
              <w:rPr>
                <w:rFonts w:ascii="Times New Roman" w:hAnsi="Times New Roman" w:eastAsia="Times New Roman" w:cs="Times New Roman"/>
                <w:color w:val="000000"/>
                <w:sz w:val="18"/>
                <w:szCs w:val="18"/>
                <w:lang w:eastAsia="pt-BR"/>
              </w:rPr>
              <w:t>17</w:t>
            </w:r>
          </w:p>
        </w:tc>
        <w:tc>
          <w:tcPr>
            <w:tcW w:w="7513" w:type="dxa"/>
            <w:tcBorders>
              <w:top w:val="single" w:color="auto" w:sz="4" w:space="0"/>
              <w:left w:val="nil"/>
              <w:bottom w:val="single" w:color="auto" w:sz="4" w:space="0"/>
              <w:right w:val="single" w:color="auto" w:sz="8" w:space="0"/>
            </w:tcBorders>
            <w:vAlign w:val="center"/>
          </w:tcPr>
          <w:p w14:paraId="376177EE">
            <w:pPr>
              <w:widowControl/>
              <w:suppressAutoHyphens w:val="0"/>
              <w:rPr>
                <w:rFonts w:ascii="Times New Roman" w:hAnsi="Times New Roman" w:eastAsia="Times New Roman" w:cs="Times New Roman"/>
                <w:color w:val="000000"/>
                <w:sz w:val="18"/>
                <w:szCs w:val="18"/>
                <w:lang w:eastAsia="pt-BR"/>
              </w:rPr>
            </w:pPr>
            <w:r>
              <w:rPr>
                <w:rFonts w:ascii="Times New Roman" w:hAnsi="Times New Roman" w:eastAsia="Times New Roman" w:cs="Times New Roman"/>
                <w:color w:val="000000"/>
                <w:sz w:val="18"/>
                <w:szCs w:val="18"/>
                <w:lang w:eastAsia="pt-BR"/>
              </w:rPr>
              <w:t>SALA DE PROCEDIMENTO</w:t>
            </w:r>
          </w:p>
        </w:tc>
      </w:tr>
      <w:tr w14:paraId="376177F2">
        <w:tblPrEx>
          <w:tblCellMar>
            <w:top w:w="0" w:type="dxa"/>
            <w:left w:w="70" w:type="dxa"/>
            <w:bottom w:w="0" w:type="dxa"/>
            <w:right w:w="70" w:type="dxa"/>
          </w:tblCellMar>
        </w:tblPrEx>
        <w:trPr>
          <w:trHeight w:val="300" w:hRule="atLeast"/>
          <w:jc w:val="center"/>
        </w:trPr>
        <w:tc>
          <w:tcPr>
            <w:tcW w:w="1266" w:type="dxa"/>
            <w:tcBorders>
              <w:top w:val="single" w:color="auto" w:sz="4" w:space="0"/>
              <w:left w:val="single" w:color="auto" w:sz="8" w:space="0"/>
              <w:bottom w:val="single" w:color="auto" w:sz="4" w:space="0"/>
              <w:right w:val="single" w:color="auto" w:sz="8" w:space="0"/>
            </w:tcBorders>
            <w:shd w:val="clear" w:color="auto" w:fill="D8D8D8" w:themeFill="background1" w:themeFillShade="D9"/>
            <w:noWrap/>
            <w:vAlign w:val="center"/>
          </w:tcPr>
          <w:p w14:paraId="376177F0">
            <w:pPr>
              <w:widowControl/>
              <w:suppressAutoHyphens w:val="0"/>
              <w:jc w:val="center"/>
              <w:rPr>
                <w:rFonts w:ascii="Times New Roman" w:hAnsi="Times New Roman" w:eastAsia="Times New Roman" w:cs="Times New Roman"/>
                <w:color w:val="000000"/>
                <w:sz w:val="18"/>
                <w:szCs w:val="18"/>
                <w:lang w:eastAsia="pt-BR"/>
              </w:rPr>
            </w:pPr>
            <w:r>
              <w:rPr>
                <w:rFonts w:ascii="Times New Roman" w:hAnsi="Times New Roman" w:eastAsia="Times New Roman" w:cs="Times New Roman"/>
                <w:color w:val="000000"/>
                <w:sz w:val="18"/>
                <w:szCs w:val="18"/>
                <w:lang w:eastAsia="pt-BR"/>
              </w:rPr>
              <w:t>18</w:t>
            </w:r>
          </w:p>
        </w:tc>
        <w:tc>
          <w:tcPr>
            <w:tcW w:w="7513" w:type="dxa"/>
            <w:tcBorders>
              <w:top w:val="single" w:color="auto" w:sz="4" w:space="0"/>
              <w:left w:val="nil"/>
              <w:bottom w:val="single" w:color="auto" w:sz="4" w:space="0"/>
              <w:right w:val="single" w:color="auto" w:sz="8" w:space="0"/>
            </w:tcBorders>
            <w:shd w:val="clear" w:color="auto" w:fill="D8D8D8" w:themeFill="background1" w:themeFillShade="D9"/>
            <w:vAlign w:val="center"/>
          </w:tcPr>
          <w:p w14:paraId="376177F1">
            <w:pPr>
              <w:widowControl/>
              <w:suppressAutoHyphens w:val="0"/>
              <w:rPr>
                <w:rFonts w:ascii="Times New Roman" w:hAnsi="Times New Roman" w:eastAsia="Times New Roman" w:cs="Times New Roman"/>
                <w:color w:val="000000"/>
                <w:sz w:val="18"/>
                <w:szCs w:val="18"/>
                <w:lang w:eastAsia="pt-BR"/>
              </w:rPr>
            </w:pPr>
            <w:r>
              <w:rPr>
                <w:rFonts w:ascii="Times New Roman" w:hAnsi="Times New Roman" w:eastAsia="Times New Roman" w:cs="Times New Roman"/>
                <w:color w:val="000000"/>
                <w:sz w:val="18"/>
                <w:szCs w:val="18"/>
                <w:lang w:eastAsia="pt-BR"/>
              </w:rPr>
              <w:t>SALA DE MEDICAÇÃO</w:t>
            </w:r>
          </w:p>
        </w:tc>
      </w:tr>
      <w:tr w14:paraId="376177F5">
        <w:tblPrEx>
          <w:tblCellMar>
            <w:top w:w="0" w:type="dxa"/>
            <w:left w:w="70" w:type="dxa"/>
            <w:bottom w:w="0" w:type="dxa"/>
            <w:right w:w="70" w:type="dxa"/>
          </w:tblCellMar>
        </w:tblPrEx>
        <w:trPr>
          <w:trHeight w:val="300" w:hRule="atLeast"/>
          <w:jc w:val="center"/>
        </w:trPr>
        <w:tc>
          <w:tcPr>
            <w:tcW w:w="1266" w:type="dxa"/>
            <w:tcBorders>
              <w:top w:val="single" w:color="auto" w:sz="4" w:space="0"/>
              <w:left w:val="single" w:color="auto" w:sz="8" w:space="0"/>
              <w:bottom w:val="single" w:color="auto" w:sz="4" w:space="0"/>
              <w:right w:val="single" w:color="auto" w:sz="8" w:space="0"/>
            </w:tcBorders>
            <w:noWrap/>
            <w:vAlign w:val="center"/>
          </w:tcPr>
          <w:p w14:paraId="376177F3">
            <w:pPr>
              <w:widowControl/>
              <w:suppressAutoHyphens w:val="0"/>
              <w:jc w:val="center"/>
              <w:rPr>
                <w:rFonts w:ascii="Times New Roman" w:hAnsi="Times New Roman" w:eastAsia="Times New Roman" w:cs="Times New Roman"/>
                <w:color w:val="000000"/>
                <w:sz w:val="18"/>
                <w:szCs w:val="18"/>
                <w:lang w:eastAsia="pt-BR"/>
              </w:rPr>
            </w:pPr>
            <w:r>
              <w:rPr>
                <w:rFonts w:ascii="Times New Roman" w:hAnsi="Times New Roman" w:eastAsia="Times New Roman" w:cs="Times New Roman"/>
                <w:color w:val="000000"/>
                <w:sz w:val="18"/>
                <w:szCs w:val="18"/>
                <w:lang w:eastAsia="pt-BR"/>
              </w:rPr>
              <w:t>19</w:t>
            </w:r>
          </w:p>
        </w:tc>
        <w:tc>
          <w:tcPr>
            <w:tcW w:w="7513" w:type="dxa"/>
            <w:tcBorders>
              <w:top w:val="single" w:color="auto" w:sz="4" w:space="0"/>
              <w:left w:val="nil"/>
              <w:bottom w:val="single" w:color="auto" w:sz="4" w:space="0"/>
              <w:right w:val="single" w:color="auto" w:sz="8" w:space="0"/>
            </w:tcBorders>
            <w:vAlign w:val="center"/>
          </w:tcPr>
          <w:p w14:paraId="376177F4">
            <w:pPr>
              <w:widowControl/>
              <w:suppressAutoHyphens w:val="0"/>
              <w:rPr>
                <w:rFonts w:ascii="Times New Roman" w:hAnsi="Times New Roman" w:eastAsia="Times New Roman" w:cs="Times New Roman"/>
                <w:color w:val="000000"/>
                <w:sz w:val="18"/>
                <w:szCs w:val="18"/>
                <w:lang w:eastAsia="pt-BR"/>
              </w:rPr>
            </w:pPr>
            <w:r>
              <w:rPr>
                <w:rFonts w:ascii="Times New Roman" w:hAnsi="Times New Roman" w:eastAsia="Times New Roman" w:cs="Times New Roman"/>
                <w:color w:val="000000"/>
                <w:sz w:val="18"/>
                <w:szCs w:val="18"/>
                <w:lang w:eastAsia="pt-BR"/>
              </w:rPr>
              <w:t>RECURSOS HUMANOS</w:t>
            </w:r>
          </w:p>
        </w:tc>
      </w:tr>
      <w:tr w14:paraId="376177F8">
        <w:tblPrEx>
          <w:tblCellMar>
            <w:top w:w="0" w:type="dxa"/>
            <w:left w:w="70" w:type="dxa"/>
            <w:bottom w:w="0" w:type="dxa"/>
            <w:right w:w="70" w:type="dxa"/>
          </w:tblCellMar>
        </w:tblPrEx>
        <w:trPr>
          <w:trHeight w:val="300" w:hRule="atLeast"/>
          <w:jc w:val="center"/>
        </w:trPr>
        <w:tc>
          <w:tcPr>
            <w:tcW w:w="1266" w:type="dxa"/>
            <w:tcBorders>
              <w:top w:val="single" w:color="auto" w:sz="4" w:space="0"/>
              <w:left w:val="single" w:color="auto" w:sz="8" w:space="0"/>
              <w:bottom w:val="single" w:color="auto" w:sz="4" w:space="0"/>
              <w:right w:val="single" w:color="auto" w:sz="8" w:space="0"/>
            </w:tcBorders>
            <w:shd w:val="clear" w:color="auto" w:fill="D8D8D8" w:themeFill="background1" w:themeFillShade="D9"/>
            <w:noWrap/>
            <w:vAlign w:val="center"/>
          </w:tcPr>
          <w:p w14:paraId="376177F6">
            <w:pPr>
              <w:widowControl/>
              <w:suppressAutoHyphens w:val="0"/>
              <w:jc w:val="center"/>
              <w:rPr>
                <w:rFonts w:ascii="Times New Roman" w:hAnsi="Times New Roman" w:eastAsia="Times New Roman" w:cs="Times New Roman"/>
                <w:color w:val="000000"/>
                <w:sz w:val="18"/>
                <w:szCs w:val="18"/>
                <w:lang w:eastAsia="pt-BR"/>
              </w:rPr>
            </w:pPr>
            <w:r>
              <w:rPr>
                <w:rFonts w:ascii="Times New Roman" w:hAnsi="Times New Roman" w:eastAsia="Times New Roman" w:cs="Times New Roman"/>
                <w:color w:val="000000"/>
                <w:sz w:val="18"/>
                <w:szCs w:val="18"/>
                <w:lang w:eastAsia="pt-BR"/>
              </w:rPr>
              <w:t>20</w:t>
            </w:r>
          </w:p>
        </w:tc>
        <w:tc>
          <w:tcPr>
            <w:tcW w:w="7513" w:type="dxa"/>
            <w:tcBorders>
              <w:top w:val="single" w:color="auto" w:sz="4" w:space="0"/>
              <w:left w:val="nil"/>
              <w:bottom w:val="single" w:color="auto" w:sz="4" w:space="0"/>
              <w:right w:val="single" w:color="auto" w:sz="8" w:space="0"/>
            </w:tcBorders>
            <w:shd w:val="clear" w:color="auto" w:fill="D8D8D8" w:themeFill="background1" w:themeFillShade="D9"/>
            <w:vAlign w:val="center"/>
          </w:tcPr>
          <w:p w14:paraId="376177F7">
            <w:pPr>
              <w:widowControl/>
              <w:suppressAutoHyphens w:val="0"/>
              <w:rPr>
                <w:rFonts w:ascii="Times New Roman" w:hAnsi="Times New Roman" w:eastAsia="Times New Roman" w:cs="Times New Roman"/>
                <w:color w:val="000000"/>
                <w:sz w:val="18"/>
                <w:szCs w:val="18"/>
                <w:lang w:eastAsia="pt-BR"/>
              </w:rPr>
            </w:pPr>
            <w:r>
              <w:rPr>
                <w:rFonts w:ascii="Times New Roman" w:hAnsi="Times New Roman" w:eastAsia="Times New Roman" w:cs="Times New Roman"/>
                <w:color w:val="000000"/>
                <w:sz w:val="18"/>
                <w:szCs w:val="18"/>
                <w:lang w:eastAsia="pt-BR"/>
              </w:rPr>
              <w:t>SALA DE ADMINISTRAÇÃO</w:t>
            </w:r>
          </w:p>
        </w:tc>
      </w:tr>
    </w:tbl>
    <w:p w14:paraId="376177F9">
      <w:pPr>
        <w:pStyle w:val="70"/>
        <w:spacing w:line="360" w:lineRule="auto"/>
        <w:jc w:val="both"/>
        <w:rPr>
          <w:rFonts w:ascii="Times New Roman" w:hAnsi="Times New Roman" w:cs="Times New Roman"/>
          <w:lang w:val="pt-BR"/>
        </w:rPr>
      </w:pPr>
    </w:p>
    <w:tbl>
      <w:tblPr>
        <w:tblStyle w:val="79"/>
        <w:tblW w:w="10366" w:type="dxa"/>
        <w:tblInd w:w="0" w:type="dxa"/>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Layout w:type="fixed"/>
        <w:tblCellMar>
          <w:top w:w="0" w:type="dxa"/>
          <w:left w:w="108" w:type="dxa"/>
          <w:bottom w:w="0" w:type="dxa"/>
          <w:right w:w="108" w:type="dxa"/>
        </w:tblCellMar>
      </w:tblPr>
      <w:tblGrid>
        <w:gridCol w:w="10366"/>
      </w:tblGrid>
      <w:tr w14:paraId="376177FB">
        <w:tblPrEx>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CellMar>
            <w:top w:w="0" w:type="dxa"/>
            <w:left w:w="108" w:type="dxa"/>
            <w:bottom w:w="0" w:type="dxa"/>
            <w:right w:w="108" w:type="dxa"/>
          </w:tblCellMar>
        </w:tblPrEx>
        <w:trPr>
          <w:trHeight w:val="367" w:hRule="atLeast"/>
        </w:trPr>
        <w:tc>
          <w:tcPr>
            <w:tcW w:w="10366" w:type="dxa"/>
            <w:shd w:val="clear" w:color="auto" w:fill="D0CECE" w:themeFill="background2" w:themeFillShade="E6"/>
            <w:vAlign w:val="center"/>
          </w:tcPr>
          <w:p w14:paraId="376177FA">
            <w:pPr>
              <w:pStyle w:val="21"/>
              <w:spacing w:line="360" w:lineRule="auto"/>
              <w:jc w:val="both"/>
              <w:rPr>
                <w:rFonts w:ascii="Times New Roman" w:hAnsi="Times New Roman" w:cs="Times New Roman"/>
              </w:rPr>
            </w:pPr>
            <w:bookmarkStart w:id="6" w:name="_Toc194397102"/>
            <w:r>
              <w:rPr>
                <w:rFonts w:ascii="Times New Roman" w:hAnsi="Times New Roman" w:cs="Times New Roman"/>
              </w:rPr>
              <w:t>6. LEVANTAMENTO DE MERCADO E JUSTIFICATIVA DA ESCOLHA DO TIPO DE SOLUÇÃO A CONTRATAR (art. 18º, §1º, INCISO “V”)</w:t>
            </w:r>
            <w:bookmarkEnd w:id="6"/>
          </w:p>
        </w:tc>
      </w:tr>
    </w:tbl>
    <w:p w14:paraId="376177FC">
      <w:pPr>
        <w:pStyle w:val="70"/>
        <w:spacing w:line="360" w:lineRule="auto"/>
        <w:jc w:val="both"/>
        <w:rPr>
          <w:rFonts w:ascii="Times New Roman" w:hAnsi="Times New Roman" w:cs="Times New Roman"/>
          <w:lang w:val="pt-BR"/>
        </w:rPr>
      </w:pPr>
    </w:p>
    <w:p w14:paraId="376177FD">
      <w:pPr>
        <w:spacing w:line="360" w:lineRule="auto"/>
        <w:ind w:left="2835" w:right="-1"/>
        <w:jc w:val="both"/>
        <w:rPr>
          <w:rFonts w:ascii="Times New Roman" w:hAnsi="Times New Roman" w:cs="Times New Roman"/>
          <w:sz w:val="18"/>
          <w:szCs w:val="14"/>
        </w:rPr>
      </w:pPr>
      <w:r>
        <w:rPr>
          <w:rFonts w:ascii="Times New Roman" w:hAnsi="Times New Roman" w:cs="Times New Roman"/>
          <w:b/>
          <w:bCs/>
          <w:sz w:val="18"/>
          <w:szCs w:val="14"/>
        </w:rPr>
        <w:t>Fundamentação:</w:t>
      </w:r>
      <w:r>
        <w:rPr>
          <w:rFonts w:ascii="Times New Roman" w:hAnsi="Times New Roman" w:cs="Times New Roman"/>
          <w:sz w:val="18"/>
          <w:szCs w:val="14"/>
        </w:rPr>
        <w:t xml:space="preserve"> levantamento de mercado, que consiste na análise das alternativas possíveis, e justificativa técnica e econômica da escolha do tipo de solução a contratar; (inciso V do § 1° do art. 18 da Lei 14.133/21 e Seção VI do Decreto Municipal 11.685/2023).</w:t>
      </w:r>
    </w:p>
    <w:p w14:paraId="376177FE">
      <w:pPr>
        <w:pStyle w:val="70"/>
        <w:spacing w:line="360" w:lineRule="auto"/>
        <w:jc w:val="both"/>
        <w:rPr>
          <w:rFonts w:ascii="Times New Roman" w:hAnsi="Times New Roman" w:cs="Times New Roman"/>
          <w:lang w:val="pt-BR"/>
        </w:rPr>
      </w:pPr>
    </w:p>
    <w:p w14:paraId="376177FF">
      <w:pPr>
        <w:pStyle w:val="70"/>
        <w:spacing w:line="360" w:lineRule="auto"/>
        <w:ind w:firstLine="720"/>
        <w:jc w:val="both"/>
        <w:rPr>
          <w:rFonts w:ascii="Times New Roman" w:hAnsi="Times New Roman" w:cs="Times New Roman"/>
        </w:rPr>
      </w:pPr>
      <w:r>
        <w:rPr>
          <w:rFonts w:ascii="Times New Roman" w:hAnsi="Times New Roman" w:cs="Times New Roman"/>
        </w:rPr>
        <w:t>Considerando o objetivo da presente contratação, que é a conclusão da obra remanescente de uma Unidade Básica de Saúde (UBS) de Porte I com padrão técnico adequado às normativas de saúde pública, acessibilidade e segurança, foi realizado levantamento com base na necessidade real da população por melhorias na rede de atenção básica no município de Rondonópolis – MT, especialmente na região do Bairro Jardim Nossa Senhora da Glória.</w:t>
      </w:r>
    </w:p>
    <w:p w14:paraId="37617800">
      <w:pPr>
        <w:pStyle w:val="70"/>
        <w:spacing w:line="360" w:lineRule="auto"/>
        <w:ind w:firstLine="720"/>
        <w:jc w:val="both"/>
        <w:rPr>
          <w:rFonts w:ascii="Times New Roman" w:hAnsi="Times New Roman" w:cs="Times New Roman"/>
        </w:rPr>
      </w:pPr>
      <w:r>
        <w:rPr>
          <w:rFonts w:ascii="Times New Roman" w:hAnsi="Times New Roman" w:cs="Times New Roman"/>
        </w:rPr>
        <w:t>A escolha pela conclusão da obra se mostra tecnicamente viável e alinhada às diretrizes do Ministério da Saúde e aos padrões de atendimento, uma vez que se trata de estrutura já iniciada, cuja finalização permitirá maior celeridade na disponibilização dos serviços e melhor aproveitamento dos recursos públicos já investidos.</w:t>
      </w:r>
    </w:p>
    <w:p w14:paraId="37617801">
      <w:pPr>
        <w:pStyle w:val="70"/>
        <w:spacing w:line="360" w:lineRule="auto"/>
        <w:ind w:firstLine="720"/>
        <w:jc w:val="both"/>
        <w:rPr>
          <w:rFonts w:ascii="Times New Roman" w:hAnsi="Times New Roman" w:cs="Times New Roman"/>
        </w:rPr>
      </w:pPr>
      <w:r>
        <w:rPr>
          <w:rFonts w:ascii="Times New Roman" w:hAnsi="Times New Roman" w:cs="Times New Roman"/>
        </w:rPr>
        <w:t>Levando-se em conta as características do objeto a ser contratado, apresentam-se como alternativas possíveis para o regime de execução:</w:t>
      </w:r>
    </w:p>
    <w:p w14:paraId="37617802">
      <w:pPr>
        <w:pStyle w:val="70"/>
        <w:numPr>
          <w:ilvl w:val="0"/>
          <w:numId w:val="2"/>
        </w:numPr>
        <w:spacing w:line="360" w:lineRule="auto"/>
        <w:jc w:val="both"/>
        <w:rPr>
          <w:rFonts w:ascii="Times New Roman" w:hAnsi="Times New Roman" w:cs="Times New Roman"/>
        </w:rPr>
      </w:pPr>
      <w:r>
        <w:rPr>
          <w:rFonts w:ascii="Times New Roman" w:hAnsi="Times New Roman" w:cs="Times New Roman"/>
        </w:rPr>
        <w:t>Empreitada por Preço Global (contratação da execução do serviço por preço certo e total, quando for possível definir previamente no projeto básico, com adequada precisão, as quantidades dos serviços a serem executados);</w:t>
      </w:r>
    </w:p>
    <w:p w14:paraId="37617803">
      <w:pPr>
        <w:pStyle w:val="70"/>
        <w:numPr>
          <w:ilvl w:val="0"/>
          <w:numId w:val="2"/>
        </w:numPr>
        <w:spacing w:line="360" w:lineRule="auto"/>
        <w:jc w:val="both"/>
        <w:rPr>
          <w:rFonts w:ascii="Times New Roman" w:hAnsi="Times New Roman" w:cs="Times New Roman"/>
        </w:rPr>
      </w:pPr>
      <w:r>
        <w:rPr>
          <w:rFonts w:ascii="Times New Roman" w:hAnsi="Times New Roman" w:cs="Times New Roman"/>
        </w:rPr>
        <w:t>Empreitada por Preço Unitário (contratação da execução do serviço por preço certo de unidades determinadas, nos casos em que o objeto, por sua natureza, apresente imprecisão nos quantitativos dos itens orçamentários, especialmente em obras remanescentes).</w:t>
      </w:r>
    </w:p>
    <w:p w14:paraId="37617804">
      <w:pPr>
        <w:pStyle w:val="70"/>
        <w:spacing w:line="360" w:lineRule="auto"/>
        <w:ind w:firstLine="720"/>
        <w:jc w:val="both"/>
        <w:rPr>
          <w:rFonts w:ascii="Times New Roman" w:hAnsi="Times New Roman" w:cs="Times New Roman"/>
        </w:rPr>
      </w:pPr>
      <w:r>
        <w:rPr>
          <w:rFonts w:ascii="Times New Roman" w:hAnsi="Times New Roman" w:cs="Times New Roman"/>
        </w:rPr>
        <w:t>Nesse contexto, a solução a ser contratada é a execução da obra por empresa especializada, com base em projetos e levantamentos técnicos atualizados, em regime de empreitada por preço unitário, conforme o inciso XXVIII do art. 6º da Lei nº 14.133/2021. Tal alternativa proporciona maior controle sobre medições, custos e eventuais adequações necessárias durante a execução, assegurando economicidade, eficiência e segurança jurídica à contratação.</w:t>
      </w:r>
    </w:p>
    <w:p w14:paraId="37617805">
      <w:pPr>
        <w:pStyle w:val="70"/>
        <w:spacing w:line="360" w:lineRule="auto"/>
        <w:ind w:firstLine="720"/>
        <w:jc w:val="both"/>
        <w:rPr>
          <w:rFonts w:ascii="Times New Roman" w:hAnsi="Times New Roman" w:cs="Times New Roman"/>
        </w:rPr>
      </w:pPr>
      <w:r>
        <w:rPr>
          <w:rFonts w:ascii="Times New Roman" w:hAnsi="Times New Roman" w:cs="Times New Roman"/>
        </w:rPr>
        <w:t>A modalidade de licitação adotada será a Concorrência, conforme disposto no art. 28, inciso II, da Lei nº 14.133/2021, indicada para a contratação de obras e serviços especiais de engenharia.</w:t>
      </w:r>
    </w:p>
    <w:p w14:paraId="37617806">
      <w:pPr>
        <w:pStyle w:val="70"/>
        <w:spacing w:line="360" w:lineRule="auto"/>
        <w:ind w:firstLine="720"/>
        <w:jc w:val="both"/>
        <w:rPr>
          <w:rFonts w:ascii="Times New Roman" w:hAnsi="Times New Roman" w:cs="Times New Roman"/>
        </w:rPr>
      </w:pPr>
      <w:r>
        <w:rPr>
          <w:rFonts w:ascii="Times New Roman" w:hAnsi="Times New Roman" w:cs="Times New Roman"/>
        </w:rPr>
        <w:t>A adoção da Concorrência fundamenta-se na legislação vigente, sendo uma modalidade ampla, isonômica e compatível com contratações de maior vulto, permitindo a participação de quaisquer interessados que atendam às exigências do edital. Dessa forma, promove-se a seleção da proposta mais vantajosa para a Administração Pública, com observância dos princípios da legalidade, impessoalidade, moralidade, publicidade e eficiência.</w:t>
      </w:r>
    </w:p>
    <w:p w14:paraId="37617807">
      <w:pPr>
        <w:pStyle w:val="70"/>
        <w:spacing w:line="360" w:lineRule="auto"/>
        <w:ind w:firstLine="720"/>
        <w:jc w:val="both"/>
        <w:rPr>
          <w:rFonts w:ascii="Times New Roman" w:hAnsi="Times New Roman" w:cs="Times New Roman"/>
          <w:lang w:val="pt-BR"/>
        </w:rPr>
      </w:pPr>
      <w:r>
        <w:rPr>
          <w:rFonts w:ascii="Times New Roman" w:hAnsi="Times New Roman" w:cs="Times New Roman"/>
          <w:lang w:val="pt-BR"/>
        </w:rPr>
        <w:t xml:space="preserve"> </w:t>
      </w:r>
    </w:p>
    <w:tbl>
      <w:tblPr>
        <w:tblStyle w:val="79"/>
        <w:tblW w:w="10366" w:type="dxa"/>
        <w:tblInd w:w="0" w:type="dxa"/>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Layout w:type="fixed"/>
        <w:tblCellMar>
          <w:top w:w="0" w:type="dxa"/>
          <w:left w:w="108" w:type="dxa"/>
          <w:bottom w:w="0" w:type="dxa"/>
          <w:right w:w="108" w:type="dxa"/>
        </w:tblCellMar>
      </w:tblPr>
      <w:tblGrid>
        <w:gridCol w:w="10366"/>
      </w:tblGrid>
      <w:tr w14:paraId="37617809">
        <w:tblPrEx>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Ex>
        <w:trPr>
          <w:trHeight w:val="367" w:hRule="atLeast"/>
        </w:trPr>
        <w:tc>
          <w:tcPr>
            <w:tcW w:w="10366" w:type="dxa"/>
            <w:shd w:val="clear" w:color="auto" w:fill="D0CECE" w:themeFill="background2" w:themeFillShade="E6"/>
            <w:vAlign w:val="center"/>
          </w:tcPr>
          <w:p w14:paraId="37617808">
            <w:pPr>
              <w:pStyle w:val="21"/>
              <w:spacing w:line="360" w:lineRule="auto"/>
              <w:jc w:val="both"/>
              <w:rPr>
                <w:rFonts w:ascii="Times New Roman" w:hAnsi="Times New Roman" w:cs="Times New Roman"/>
              </w:rPr>
            </w:pPr>
            <w:bookmarkStart w:id="7" w:name="_Toc194397103"/>
            <w:r>
              <w:rPr>
                <w:rFonts w:ascii="Times New Roman" w:hAnsi="Times New Roman" w:cs="Times New Roman"/>
              </w:rPr>
              <w:t>7. ESTIMATIVA DO VALOR DA CONTRATAÇÃO (art. 18º, §1º, INCISO “VI”)</w:t>
            </w:r>
            <w:bookmarkEnd w:id="7"/>
          </w:p>
        </w:tc>
      </w:tr>
    </w:tbl>
    <w:p w14:paraId="3761780A">
      <w:pPr>
        <w:pStyle w:val="70"/>
        <w:spacing w:line="360" w:lineRule="auto"/>
        <w:jc w:val="both"/>
        <w:rPr>
          <w:rFonts w:ascii="Times New Roman" w:hAnsi="Times New Roman" w:cs="Times New Roman"/>
          <w:lang w:val="pt-BR"/>
        </w:rPr>
      </w:pPr>
    </w:p>
    <w:p w14:paraId="3761780B">
      <w:pPr>
        <w:spacing w:line="360" w:lineRule="auto"/>
        <w:ind w:left="2835" w:right="-1"/>
        <w:jc w:val="both"/>
        <w:rPr>
          <w:rFonts w:ascii="Times New Roman" w:hAnsi="Times New Roman" w:cs="Times New Roman"/>
          <w:sz w:val="18"/>
          <w:szCs w:val="14"/>
        </w:rPr>
      </w:pPr>
      <w:r>
        <w:rPr>
          <w:rFonts w:ascii="Times New Roman" w:hAnsi="Times New Roman" w:cs="Times New Roman"/>
          <w:b/>
          <w:bCs/>
          <w:sz w:val="18"/>
          <w:szCs w:val="14"/>
        </w:rPr>
        <w:t>Fundamentação:</w:t>
      </w:r>
      <w:r>
        <w:rPr>
          <w:rFonts w:ascii="Times New Roman" w:hAnsi="Times New Roman" w:cs="Times New Roman"/>
          <w:sz w:val="18"/>
          <w:szCs w:val="14"/>
        </w:rPr>
        <w:t xml:space="preserve"> estimativa do valor da contratação, acompanhada dos preços unitários referenciais, das memórias de cálculo e dos documentos que lhe dão suporte, que poderão constar de anexo classificado, se a Administração optar por preservar o seu sigilo até a conclusão da licitação; (inciso VI do § 1° do art. 18 da Lei 14.133/21 e Seção VI do Decreto Municipal 11.685/2023).</w:t>
      </w:r>
    </w:p>
    <w:p w14:paraId="3761780C">
      <w:pPr>
        <w:spacing w:line="360" w:lineRule="auto"/>
        <w:ind w:left="2835" w:right="-1"/>
        <w:jc w:val="both"/>
        <w:rPr>
          <w:rFonts w:ascii="Times New Roman" w:hAnsi="Times New Roman" w:cs="Times New Roman"/>
          <w:sz w:val="18"/>
          <w:szCs w:val="14"/>
        </w:rPr>
      </w:pPr>
    </w:p>
    <w:p w14:paraId="3761780D">
      <w:pPr>
        <w:pStyle w:val="70"/>
        <w:spacing w:line="360" w:lineRule="auto"/>
        <w:jc w:val="both"/>
        <w:rPr>
          <w:rFonts w:ascii="Times New Roman" w:hAnsi="Times New Roman" w:cs="Times New Roman"/>
          <w:lang w:val="pt-BR"/>
        </w:rPr>
      </w:pPr>
      <w:r>
        <w:rPr>
          <w:rFonts w:ascii="Times New Roman" w:hAnsi="Times New Roman" w:cs="Times New Roman"/>
          <w:lang w:val="pt-BR"/>
        </w:rPr>
        <w:t>O valor estimado contempla todos os insumos, serviços e encargos necessários à execução integral da obra remanescente da Unidade Básica de Saúde (UBS) de Porte I do Bairro Jardim Nossa Senhora da Glória, incluindo encargos sociais, fornecimento de materiais, mão de obra, equipamentos, despesas indiretas e tributos incidentes.</w:t>
      </w:r>
    </w:p>
    <w:p w14:paraId="3761780E">
      <w:pPr>
        <w:pStyle w:val="70"/>
        <w:spacing w:line="360" w:lineRule="auto"/>
        <w:ind w:firstLine="720"/>
        <w:jc w:val="both"/>
        <w:rPr>
          <w:rFonts w:ascii="Times New Roman" w:hAnsi="Times New Roman" w:cs="Times New Roman"/>
          <w:lang w:val="pt-BR"/>
        </w:rPr>
      </w:pPr>
      <w:r>
        <w:rPr>
          <w:rFonts w:ascii="Times New Roman" w:hAnsi="Times New Roman" w:cs="Times New Roman"/>
          <w:lang w:val="pt-BR"/>
        </w:rPr>
        <w:t>Para a composição orçamentária, foram utilizadas referências oficiais, tais como SINAPI, ORSE e SICRO, além de valores de mercado devidamente justificados, especialmente considerando as particularidades inerentes a obras remanescentes, conforme preceitua a legislação vigente e os princípios da economicidade e eficiência.</w:t>
      </w:r>
    </w:p>
    <w:p w14:paraId="3761780F">
      <w:pPr>
        <w:pStyle w:val="70"/>
        <w:spacing w:line="360" w:lineRule="auto"/>
        <w:ind w:firstLine="720"/>
        <w:jc w:val="both"/>
        <w:rPr>
          <w:rFonts w:ascii="Times New Roman" w:hAnsi="Times New Roman" w:cs="Times New Roman"/>
          <w:lang w:val="pt-BR"/>
        </w:rPr>
      </w:pPr>
      <w:r>
        <w:rPr>
          <w:rFonts w:ascii="Times New Roman" w:hAnsi="Times New Roman" w:cs="Times New Roman"/>
          <w:lang w:val="pt-BR"/>
        </w:rPr>
        <w:t>A planilha orçamentária, contendo a estimativa detalhada dos custos para a conclusão da unidade, será parte integrante do processo licitatório e publicada oportunamente, garantindo a devida transparência do certame, em conformidade com a Lei nº 14.133/2021.</w:t>
      </w:r>
    </w:p>
    <w:p w14:paraId="37617810">
      <w:pPr>
        <w:pStyle w:val="70"/>
        <w:spacing w:line="360" w:lineRule="auto"/>
        <w:ind w:firstLine="720"/>
        <w:jc w:val="both"/>
        <w:rPr>
          <w:rFonts w:ascii="Times New Roman" w:hAnsi="Times New Roman" w:cs="Times New Roman"/>
          <w:lang w:val="pt-BR"/>
        </w:rPr>
      </w:pPr>
    </w:p>
    <w:p w14:paraId="37617811">
      <w:pPr>
        <w:pStyle w:val="70"/>
        <w:spacing w:line="360" w:lineRule="auto"/>
        <w:jc w:val="both"/>
        <w:rPr>
          <w:rFonts w:ascii="Times New Roman" w:hAnsi="Times New Roman" w:cs="Times New Roman"/>
          <w:lang w:val="pt-BR"/>
        </w:rPr>
      </w:pPr>
    </w:p>
    <w:tbl>
      <w:tblPr>
        <w:tblStyle w:val="79"/>
        <w:tblW w:w="10366" w:type="dxa"/>
        <w:tblInd w:w="0" w:type="dxa"/>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Layout w:type="fixed"/>
        <w:tblCellMar>
          <w:top w:w="0" w:type="dxa"/>
          <w:left w:w="108" w:type="dxa"/>
          <w:bottom w:w="0" w:type="dxa"/>
          <w:right w:w="108" w:type="dxa"/>
        </w:tblCellMar>
      </w:tblPr>
      <w:tblGrid>
        <w:gridCol w:w="10366"/>
      </w:tblGrid>
      <w:tr w14:paraId="37617813">
        <w:tblPrEx>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CellMar>
            <w:top w:w="0" w:type="dxa"/>
            <w:left w:w="108" w:type="dxa"/>
            <w:bottom w:w="0" w:type="dxa"/>
            <w:right w:w="108" w:type="dxa"/>
          </w:tblCellMar>
        </w:tblPrEx>
        <w:trPr>
          <w:trHeight w:val="367" w:hRule="atLeast"/>
        </w:trPr>
        <w:tc>
          <w:tcPr>
            <w:tcW w:w="10366" w:type="dxa"/>
            <w:shd w:val="clear" w:color="auto" w:fill="D0CECE" w:themeFill="background2" w:themeFillShade="E6"/>
            <w:vAlign w:val="center"/>
          </w:tcPr>
          <w:p w14:paraId="37617812">
            <w:pPr>
              <w:pStyle w:val="21"/>
              <w:spacing w:line="360" w:lineRule="auto"/>
              <w:jc w:val="both"/>
              <w:rPr>
                <w:rFonts w:ascii="Times New Roman" w:hAnsi="Times New Roman" w:cs="Times New Roman"/>
              </w:rPr>
            </w:pPr>
            <w:bookmarkStart w:id="8" w:name="_Toc194397104"/>
            <w:r>
              <w:rPr>
                <w:rFonts w:ascii="Times New Roman" w:hAnsi="Times New Roman" w:cs="Times New Roman"/>
              </w:rPr>
              <w:t>8. DESCRIÇÃO DA SOLUÇÃO COMO UM TODO (art. 18º, §1º, INCISO “VII”)</w:t>
            </w:r>
            <w:bookmarkEnd w:id="8"/>
          </w:p>
        </w:tc>
      </w:tr>
    </w:tbl>
    <w:p w14:paraId="37617814">
      <w:pPr>
        <w:pStyle w:val="70"/>
        <w:spacing w:line="360" w:lineRule="auto"/>
        <w:jc w:val="both"/>
        <w:rPr>
          <w:rFonts w:ascii="Times New Roman" w:hAnsi="Times New Roman" w:cs="Times New Roman"/>
          <w:lang w:val="pt-BR"/>
        </w:rPr>
      </w:pPr>
    </w:p>
    <w:p w14:paraId="37617815">
      <w:pPr>
        <w:spacing w:line="360" w:lineRule="auto"/>
        <w:ind w:left="2835" w:right="-1"/>
        <w:jc w:val="both"/>
        <w:rPr>
          <w:rFonts w:ascii="Times New Roman" w:hAnsi="Times New Roman" w:cs="Times New Roman"/>
          <w:sz w:val="18"/>
          <w:szCs w:val="14"/>
        </w:rPr>
      </w:pPr>
      <w:r>
        <w:rPr>
          <w:rFonts w:ascii="Times New Roman" w:hAnsi="Times New Roman" w:cs="Times New Roman"/>
          <w:b/>
          <w:bCs/>
          <w:sz w:val="18"/>
          <w:szCs w:val="14"/>
        </w:rPr>
        <w:t>Fundamentação:</w:t>
      </w:r>
      <w:r>
        <w:rPr>
          <w:rFonts w:ascii="Times New Roman" w:hAnsi="Times New Roman" w:cs="Times New Roman"/>
          <w:sz w:val="18"/>
          <w:szCs w:val="14"/>
        </w:rPr>
        <w:t xml:space="preserve"> descrição da solução como um todo, inclusive das exigências relacionadas à manutenção e à assistência técnica, quando for o caso; (inciso VII do § 1° do art. 18 da Lei 14.133/21 e Seção VI do Decreto Municipal 11.685/2023).</w:t>
      </w:r>
    </w:p>
    <w:p w14:paraId="37617816">
      <w:pPr>
        <w:spacing w:line="360" w:lineRule="auto"/>
        <w:ind w:left="2835" w:right="-1"/>
        <w:jc w:val="both"/>
        <w:rPr>
          <w:rFonts w:ascii="Times New Roman" w:hAnsi="Times New Roman" w:cs="Times New Roman"/>
          <w:sz w:val="18"/>
          <w:szCs w:val="14"/>
        </w:rPr>
      </w:pPr>
    </w:p>
    <w:p w14:paraId="37617817">
      <w:pPr>
        <w:pStyle w:val="70"/>
        <w:spacing w:line="360" w:lineRule="auto"/>
        <w:jc w:val="both"/>
        <w:rPr>
          <w:rFonts w:ascii="Times New Roman" w:hAnsi="Times New Roman" w:cs="Times New Roman"/>
          <w:lang w:val="pt-BR"/>
        </w:rPr>
      </w:pPr>
      <w:r>
        <w:rPr>
          <w:rFonts w:ascii="Times New Roman" w:hAnsi="Times New Roman" w:cs="Times New Roman"/>
          <w:lang w:val="pt-BR"/>
        </w:rPr>
        <w:tab/>
      </w:r>
      <w:r>
        <w:rPr>
          <w:rFonts w:ascii="Times New Roman" w:hAnsi="Times New Roman" w:cs="Times New Roman"/>
          <w:lang w:val="pt-BR"/>
        </w:rPr>
        <w:t>A solução proposta contempla a conclusão da obra remanescente de uma Unidade Básica de Saúde (UBS) de Porte I no Bairro Jardim Nossa Senhora da Glória, no município de Rondonópolis – MT, estrutura voltada à oferta de serviços de atenção básica à saúde para a população local e áreas adjacentes. O projeto visa ampliar e qualificar a capacidade de atendimento da rede pública de saúde, garantindo maior resolutividade e contribuindo para a redução da demanda em outras unidades do município.</w:t>
      </w:r>
    </w:p>
    <w:p w14:paraId="37617818">
      <w:pPr>
        <w:pStyle w:val="70"/>
        <w:spacing w:line="360" w:lineRule="auto"/>
        <w:ind w:firstLine="720"/>
        <w:jc w:val="both"/>
        <w:rPr>
          <w:rFonts w:ascii="Times New Roman" w:hAnsi="Times New Roman" w:cs="Times New Roman"/>
          <w:lang w:val="pt-BR"/>
        </w:rPr>
      </w:pPr>
      <w:r>
        <w:rPr>
          <w:rFonts w:ascii="Times New Roman" w:hAnsi="Times New Roman" w:cs="Times New Roman"/>
          <w:lang w:val="pt-BR"/>
        </w:rPr>
        <w:t>A edificação será concluída com base nos projetos arquitetônico e complementares existentes, devidamente atualizados, obedecendo aos parâmetros técnicos de acessibilidade, vigilância sanitária e eficiência operacional. Serão contemplados ambientes assistenciais e de apoio, projetados para garantir funcionalidade, segurança e conforto aos usuários e profissionais de saúde.</w:t>
      </w:r>
    </w:p>
    <w:p w14:paraId="37617819">
      <w:pPr>
        <w:pStyle w:val="70"/>
        <w:spacing w:line="360" w:lineRule="auto"/>
        <w:ind w:firstLine="720"/>
        <w:jc w:val="both"/>
        <w:rPr>
          <w:rFonts w:ascii="Times New Roman" w:hAnsi="Times New Roman" w:cs="Times New Roman"/>
          <w:lang w:val="pt-BR"/>
        </w:rPr>
      </w:pPr>
      <w:r>
        <w:rPr>
          <w:rFonts w:ascii="Times New Roman" w:hAnsi="Times New Roman" w:cs="Times New Roman"/>
          <w:lang w:val="pt-BR"/>
        </w:rPr>
        <w:t>A execução será contratada sob o regime de empreitada por preço unitário, considerando as particularidades inerentes a obras remanescentes, possibilitando maior controle dos quantitativos efetivamente executados. A fiscalização ficará a cargo da Secretaria Municipal de Saúde, em conjunto com os setores técnicos competentes.</w:t>
      </w:r>
    </w:p>
    <w:p w14:paraId="3761781A">
      <w:pPr>
        <w:pStyle w:val="70"/>
        <w:spacing w:line="360" w:lineRule="auto"/>
        <w:ind w:firstLine="720"/>
        <w:jc w:val="both"/>
        <w:rPr>
          <w:rFonts w:ascii="Times New Roman" w:hAnsi="Times New Roman" w:cs="Times New Roman"/>
          <w:lang w:val="pt-BR"/>
        </w:rPr>
      </w:pPr>
      <w:r>
        <w:rPr>
          <w:rFonts w:ascii="Times New Roman" w:hAnsi="Times New Roman" w:cs="Times New Roman"/>
          <w:lang w:val="pt-BR"/>
        </w:rPr>
        <w:t>A conclusão da obra atenderá a uma demanda concreta da população por serviços de saúde, consolidando-se como uma solução efetiva para a ampliação da cobertura da atenção básica no município.</w:t>
      </w:r>
    </w:p>
    <w:p w14:paraId="3761781B">
      <w:pPr>
        <w:pStyle w:val="70"/>
        <w:spacing w:line="360" w:lineRule="auto"/>
        <w:jc w:val="both"/>
        <w:rPr>
          <w:rFonts w:ascii="Times New Roman" w:hAnsi="Times New Roman" w:cs="Times New Roman"/>
          <w:lang w:val="pt-BR"/>
        </w:rPr>
      </w:pPr>
    </w:p>
    <w:tbl>
      <w:tblPr>
        <w:tblStyle w:val="79"/>
        <w:tblW w:w="10366" w:type="dxa"/>
        <w:tblInd w:w="0" w:type="dxa"/>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Layout w:type="fixed"/>
        <w:tblCellMar>
          <w:top w:w="0" w:type="dxa"/>
          <w:left w:w="108" w:type="dxa"/>
          <w:bottom w:w="0" w:type="dxa"/>
          <w:right w:w="108" w:type="dxa"/>
        </w:tblCellMar>
      </w:tblPr>
      <w:tblGrid>
        <w:gridCol w:w="10366"/>
      </w:tblGrid>
      <w:tr w14:paraId="3761781D">
        <w:tblPrEx>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CellMar>
            <w:top w:w="0" w:type="dxa"/>
            <w:left w:w="108" w:type="dxa"/>
            <w:bottom w:w="0" w:type="dxa"/>
            <w:right w:w="108" w:type="dxa"/>
          </w:tblCellMar>
        </w:tblPrEx>
        <w:trPr>
          <w:trHeight w:val="367" w:hRule="atLeast"/>
        </w:trPr>
        <w:tc>
          <w:tcPr>
            <w:tcW w:w="10366" w:type="dxa"/>
            <w:shd w:val="clear" w:color="auto" w:fill="D0CECE" w:themeFill="background2" w:themeFillShade="E6"/>
            <w:vAlign w:val="center"/>
          </w:tcPr>
          <w:p w14:paraId="3761781C">
            <w:pPr>
              <w:pStyle w:val="21"/>
              <w:spacing w:line="360" w:lineRule="auto"/>
              <w:jc w:val="both"/>
              <w:rPr>
                <w:rFonts w:ascii="Times New Roman" w:hAnsi="Times New Roman" w:cs="Times New Roman"/>
              </w:rPr>
            </w:pPr>
            <w:bookmarkStart w:id="9" w:name="_Toc194397105"/>
            <w:r>
              <w:rPr>
                <w:rFonts w:ascii="Times New Roman" w:hAnsi="Times New Roman" w:cs="Times New Roman"/>
              </w:rPr>
              <w:t>9. JUSTIFICATIVA PARA O PARCELAMENTO OU NÃO DA SOLUÇÃO (art. 18º, §1º, INCISO “VIII”)</w:t>
            </w:r>
            <w:bookmarkEnd w:id="9"/>
          </w:p>
        </w:tc>
      </w:tr>
    </w:tbl>
    <w:p w14:paraId="3761781E">
      <w:pPr>
        <w:pStyle w:val="70"/>
        <w:spacing w:line="360" w:lineRule="auto"/>
        <w:jc w:val="both"/>
        <w:rPr>
          <w:rFonts w:ascii="Times New Roman" w:hAnsi="Times New Roman" w:cs="Times New Roman"/>
          <w:lang w:val="pt-BR"/>
        </w:rPr>
      </w:pPr>
    </w:p>
    <w:p w14:paraId="3761781F">
      <w:pPr>
        <w:spacing w:line="360" w:lineRule="auto"/>
        <w:ind w:left="2835" w:right="-1"/>
        <w:jc w:val="both"/>
        <w:rPr>
          <w:rFonts w:ascii="Times New Roman" w:hAnsi="Times New Roman" w:cs="Times New Roman"/>
          <w:sz w:val="18"/>
          <w:szCs w:val="14"/>
        </w:rPr>
      </w:pPr>
      <w:r>
        <w:rPr>
          <w:rFonts w:ascii="Times New Roman" w:hAnsi="Times New Roman" w:cs="Times New Roman"/>
          <w:b/>
          <w:bCs/>
          <w:sz w:val="18"/>
          <w:szCs w:val="14"/>
        </w:rPr>
        <w:t>Fundamentação:</w:t>
      </w:r>
      <w:r>
        <w:rPr>
          <w:rFonts w:ascii="Times New Roman" w:hAnsi="Times New Roman" w:cs="Times New Roman"/>
          <w:sz w:val="18"/>
          <w:szCs w:val="14"/>
        </w:rPr>
        <w:t xml:space="preserve"> justificativas para o parcelamento ou não da contratação; (inciso VIII do § 1° do art. 18 da Lei 14.133/21 e Seção VI do Decreto Municipal 11.685/2023).</w:t>
      </w:r>
    </w:p>
    <w:p w14:paraId="37617820">
      <w:pPr>
        <w:pStyle w:val="70"/>
        <w:spacing w:line="360" w:lineRule="auto"/>
        <w:jc w:val="both"/>
        <w:rPr>
          <w:rFonts w:ascii="Times New Roman" w:hAnsi="Times New Roman" w:cs="Times New Roman"/>
        </w:rPr>
      </w:pPr>
      <w:r>
        <w:rPr>
          <w:rFonts w:ascii="Times New Roman" w:hAnsi="Times New Roman" w:cs="Times New Roman"/>
          <w:lang w:val="pt-BR"/>
        </w:rPr>
        <w:tab/>
      </w:r>
    </w:p>
    <w:p w14:paraId="37617821">
      <w:pPr>
        <w:pStyle w:val="70"/>
        <w:spacing w:line="360" w:lineRule="auto"/>
        <w:jc w:val="both"/>
        <w:rPr>
          <w:rFonts w:ascii="Times New Roman" w:hAnsi="Times New Roman" w:cs="Times New Roman"/>
          <w:lang w:val="pt-BR"/>
        </w:rPr>
      </w:pPr>
      <w:r>
        <w:rPr>
          <w:rFonts w:ascii="Times New Roman" w:hAnsi="Times New Roman" w:cs="Times New Roman"/>
        </w:rPr>
        <w:tab/>
      </w:r>
      <w:r>
        <w:rPr>
          <w:rFonts w:ascii="Times New Roman" w:hAnsi="Times New Roman" w:cs="Times New Roman"/>
          <w:lang w:val="pt-BR"/>
        </w:rPr>
        <w:t xml:space="preserve">Considerando a natureza da contratação — construção de uma edificação pública de saúde com múltiplos ambientes e sistemas interdependentes — </w:t>
      </w:r>
      <w:r>
        <w:rPr>
          <w:rFonts w:ascii="Times New Roman" w:hAnsi="Times New Roman" w:cs="Times New Roman"/>
          <w:b/>
          <w:bCs/>
          <w:lang w:val="pt-BR"/>
        </w:rPr>
        <w:t>não se recomenda o parcelamento da solução</w:t>
      </w:r>
      <w:r>
        <w:rPr>
          <w:rFonts w:ascii="Times New Roman" w:hAnsi="Times New Roman" w:cs="Times New Roman"/>
          <w:lang w:val="pt-BR"/>
        </w:rPr>
        <w:t>. Trata-se de um empreendimento único, cujos serviços estão integrados física e funcionalmente, exigindo gestão unificada e execução coordenada para garantir o cumprimento dos prazos, qualidade técnica e otimização dos recursos públicos.</w:t>
      </w:r>
    </w:p>
    <w:p w14:paraId="37617822">
      <w:pPr>
        <w:pStyle w:val="70"/>
        <w:spacing w:line="360" w:lineRule="auto"/>
        <w:ind w:firstLine="720"/>
        <w:jc w:val="both"/>
        <w:rPr>
          <w:rFonts w:ascii="Times New Roman" w:hAnsi="Times New Roman" w:cs="Times New Roman"/>
          <w:lang w:val="pt-BR"/>
        </w:rPr>
      </w:pPr>
      <w:r>
        <w:rPr>
          <w:rFonts w:ascii="Times New Roman" w:hAnsi="Times New Roman" w:cs="Times New Roman"/>
          <w:lang w:val="pt-BR"/>
        </w:rPr>
        <w:t>A fragmentação contratual comprometeria o desempenho global da obra, podendo ocasionar incompatibilidades técnicas entre os diferentes executores, além de dificultar o controle, a fiscalização e a responsabilização contratual.</w:t>
      </w:r>
    </w:p>
    <w:p w14:paraId="37617823">
      <w:pPr>
        <w:pStyle w:val="70"/>
        <w:spacing w:line="360" w:lineRule="auto"/>
        <w:ind w:firstLine="720"/>
        <w:jc w:val="both"/>
        <w:rPr>
          <w:rFonts w:ascii="Times New Roman" w:hAnsi="Times New Roman" w:cs="Times New Roman"/>
          <w:lang w:val="pt-BR"/>
        </w:rPr>
      </w:pPr>
      <w:r>
        <w:rPr>
          <w:rFonts w:ascii="Times New Roman" w:hAnsi="Times New Roman" w:cs="Times New Roman"/>
          <w:lang w:val="pt-BR"/>
        </w:rPr>
        <w:t xml:space="preserve">Dessa forma, a execução integral da obra por um único contratado, sob o regime de </w:t>
      </w:r>
      <w:r>
        <w:rPr>
          <w:rFonts w:ascii="Times New Roman" w:hAnsi="Times New Roman" w:cs="Times New Roman"/>
          <w:b/>
          <w:bCs/>
          <w:lang w:val="pt-BR"/>
        </w:rPr>
        <w:t>empreitada por preço unitário</w:t>
      </w:r>
      <w:r>
        <w:rPr>
          <w:rFonts w:ascii="Times New Roman" w:hAnsi="Times New Roman" w:cs="Times New Roman"/>
          <w:lang w:val="pt-BR"/>
        </w:rPr>
        <w:t>, mostra-se a alternativa mais eficiente e vantajosa para a Administração Pública, atendendo ao interesse público e ao princípio da economicidade.</w:t>
      </w:r>
    </w:p>
    <w:p w14:paraId="37617824">
      <w:pPr>
        <w:pStyle w:val="70"/>
        <w:spacing w:line="360" w:lineRule="auto"/>
        <w:jc w:val="both"/>
        <w:rPr>
          <w:rFonts w:ascii="Times New Roman" w:hAnsi="Times New Roman" w:cs="Times New Roman"/>
        </w:rPr>
      </w:pPr>
    </w:p>
    <w:tbl>
      <w:tblPr>
        <w:tblStyle w:val="79"/>
        <w:tblW w:w="10366" w:type="dxa"/>
        <w:tblInd w:w="0" w:type="dxa"/>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Layout w:type="fixed"/>
        <w:tblCellMar>
          <w:top w:w="0" w:type="dxa"/>
          <w:left w:w="108" w:type="dxa"/>
          <w:bottom w:w="0" w:type="dxa"/>
          <w:right w:w="108" w:type="dxa"/>
        </w:tblCellMar>
      </w:tblPr>
      <w:tblGrid>
        <w:gridCol w:w="10366"/>
      </w:tblGrid>
      <w:tr w14:paraId="37617826">
        <w:tblPrEx>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CellMar>
            <w:top w:w="0" w:type="dxa"/>
            <w:left w:w="108" w:type="dxa"/>
            <w:bottom w:w="0" w:type="dxa"/>
            <w:right w:w="108" w:type="dxa"/>
          </w:tblCellMar>
        </w:tblPrEx>
        <w:trPr>
          <w:trHeight w:val="367" w:hRule="atLeast"/>
        </w:trPr>
        <w:tc>
          <w:tcPr>
            <w:tcW w:w="10366" w:type="dxa"/>
            <w:shd w:val="clear" w:color="auto" w:fill="D0CECE" w:themeFill="background2" w:themeFillShade="E6"/>
            <w:vAlign w:val="center"/>
          </w:tcPr>
          <w:p w14:paraId="37617825">
            <w:pPr>
              <w:pStyle w:val="21"/>
              <w:spacing w:line="360" w:lineRule="auto"/>
              <w:jc w:val="both"/>
              <w:rPr>
                <w:rFonts w:ascii="Times New Roman" w:hAnsi="Times New Roman" w:cs="Times New Roman"/>
              </w:rPr>
            </w:pPr>
            <w:bookmarkStart w:id="10" w:name="_Toc194397106"/>
            <w:r>
              <w:rPr>
                <w:rFonts w:ascii="Times New Roman" w:hAnsi="Times New Roman" w:cs="Times New Roman"/>
              </w:rPr>
              <w:t>10. DEMONSTRATIVO DOS RESULTADOS PRETENDIDOS (art. 18º, §1º, INCISO “IX”)</w:t>
            </w:r>
            <w:bookmarkEnd w:id="10"/>
          </w:p>
        </w:tc>
      </w:tr>
    </w:tbl>
    <w:p w14:paraId="37617827">
      <w:pPr>
        <w:pStyle w:val="70"/>
        <w:spacing w:line="360" w:lineRule="auto"/>
        <w:jc w:val="both"/>
        <w:rPr>
          <w:rFonts w:ascii="Times New Roman" w:hAnsi="Times New Roman" w:cs="Times New Roman"/>
          <w:lang w:val="pt-BR"/>
        </w:rPr>
      </w:pPr>
    </w:p>
    <w:p w14:paraId="37617828">
      <w:pPr>
        <w:spacing w:line="360" w:lineRule="auto"/>
        <w:ind w:left="2835" w:right="-1"/>
        <w:jc w:val="both"/>
        <w:rPr>
          <w:rFonts w:ascii="Times New Roman" w:hAnsi="Times New Roman" w:cs="Times New Roman"/>
          <w:sz w:val="18"/>
          <w:szCs w:val="14"/>
        </w:rPr>
      </w:pPr>
      <w:r>
        <w:rPr>
          <w:rFonts w:ascii="Times New Roman" w:hAnsi="Times New Roman" w:cs="Times New Roman"/>
          <w:b/>
          <w:bCs/>
          <w:sz w:val="18"/>
          <w:szCs w:val="14"/>
        </w:rPr>
        <w:t>Fundamentação:</w:t>
      </w:r>
      <w:r>
        <w:rPr>
          <w:rFonts w:ascii="Times New Roman" w:hAnsi="Times New Roman" w:cs="Times New Roman"/>
          <w:sz w:val="18"/>
          <w:szCs w:val="14"/>
        </w:rPr>
        <w:t xml:space="preserve"> demonstrativo dos resultados pretendidos em termos de economicidade e de melhor aproveitamento dos recursos humanos, materiais e financeiros disponíveis; (inciso IX do § 1° do art. 18 da Lei 14.133/21 e Seção VI do Decreto Municipal 11.685/2023).</w:t>
      </w:r>
    </w:p>
    <w:p w14:paraId="37617829">
      <w:pPr>
        <w:pStyle w:val="70"/>
        <w:spacing w:line="360" w:lineRule="auto"/>
        <w:jc w:val="both"/>
        <w:rPr>
          <w:rFonts w:ascii="Times New Roman" w:hAnsi="Times New Roman" w:cs="Times New Roman"/>
          <w:lang w:val="pt-BR"/>
        </w:rPr>
      </w:pPr>
    </w:p>
    <w:p w14:paraId="3761782A">
      <w:pPr>
        <w:pStyle w:val="70"/>
        <w:spacing w:line="360" w:lineRule="auto"/>
        <w:ind w:firstLine="720"/>
        <w:jc w:val="both"/>
      </w:pPr>
      <w:r>
        <w:rPr>
          <w:rFonts w:ascii="Times New Roman" w:hAnsi="Times New Roman" w:cs="Times New Roman"/>
        </w:rPr>
        <w:tab/>
      </w:r>
      <w:r>
        <w:rPr>
          <w:rFonts w:ascii="Times New Roman" w:hAnsi="Times New Roman" w:cs="Times New Roman"/>
          <w:lang w:val="pt-BR"/>
        </w:rPr>
        <w:t>A execução da obra para conclusão da Unidade Básica de Saúde (UBS) de Porte I no Bairro Jardim Nossa Senhora da Glória tem como principal resultado esperado o fortalecimento da rede municipal de atenção básica à saúde, por meio da ampliação e qualificação da estrutura física existente. O empreendimento visa atender, de forma planejada e estruturada, uma demanda já identificada da população por serviços básicos de saúde, otimizando o uso das unidades existentes e reduzindo a sobrecarga nos atendimentos de maior complexidade.</w:t>
      </w:r>
    </w:p>
    <w:p w14:paraId="3761782B">
      <w:pPr>
        <w:pStyle w:val="70"/>
        <w:spacing w:line="360" w:lineRule="auto"/>
        <w:ind w:firstLine="720"/>
        <w:jc w:val="both"/>
        <w:rPr>
          <w:rFonts w:ascii="Times New Roman" w:hAnsi="Times New Roman" w:cs="Times New Roman"/>
        </w:rPr>
      </w:pPr>
      <w:r>
        <w:rPr>
          <w:rFonts w:ascii="Times New Roman" w:hAnsi="Times New Roman" w:cs="Times New Roman"/>
        </w:rPr>
        <w:t>Dentre os principais resultados a serem alcançados com a contratação, destacam-se:</w:t>
      </w:r>
    </w:p>
    <w:p w14:paraId="3761782C">
      <w:pPr>
        <w:pStyle w:val="70"/>
        <w:numPr>
          <w:ilvl w:val="0"/>
          <w:numId w:val="3"/>
        </w:numPr>
        <w:spacing w:line="360" w:lineRule="auto"/>
        <w:jc w:val="both"/>
        <w:rPr>
          <w:rFonts w:ascii="Times New Roman" w:hAnsi="Times New Roman" w:cs="Times New Roman"/>
        </w:rPr>
      </w:pPr>
      <w:r>
        <w:rPr>
          <w:rFonts w:ascii="Times New Roman" w:hAnsi="Times New Roman" w:cs="Times New Roman"/>
        </w:rPr>
        <w:t>Disponibilização de infraestrutura adequada, funcional e compatível com as normativas vigentes para atendimentos de atenção básica;</w:t>
      </w:r>
    </w:p>
    <w:p w14:paraId="3761782D">
      <w:pPr>
        <w:pStyle w:val="70"/>
        <w:numPr>
          <w:ilvl w:val="0"/>
          <w:numId w:val="3"/>
        </w:numPr>
        <w:spacing w:line="360" w:lineRule="auto"/>
        <w:jc w:val="both"/>
        <w:rPr>
          <w:rFonts w:ascii="Times New Roman" w:hAnsi="Times New Roman" w:cs="Times New Roman"/>
        </w:rPr>
      </w:pPr>
      <w:r>
        <w:rPr>
          <w:rFonts w:ascii="Times New Roman" w:hAnsi="Times New Roman" w:cs="Times New Roman"/>
        </w:rPr>
        <w:t>Melhoria da capacidade de resposta do município frente à demanda de atendimento na região do Bairro Jardim Nossa Senhora da Glória e áreas adjacentes;</w:t>
      </w:r>
    </w:p>
    <w:p w14:paraId="3761782E">
      <w:pPr>
        <w:pStyle w:val="70"/>
        <w:numPr>
          <w:ilvl w:val="0"/>
          <w:numId w:val="3"/>
        </w:numPr>
        <w:spacing w:line="360" w:lineRule="auto"/>
        <w:jc w:val="both"/>
        <w:rPr>
          <w:rFonts w:ascii="Times New Roman" w:hAnsi="Times New Roman" w:cs="Times New Roman"/>
        </w:rPr>
      </w:pPr>
      <w:r>
        <w:rPr>
          <w:rFonts w:ascii="Times New Roman" w:hAnsi="Times New Roman" w:cs="Times New Roman"/>
        </w:rPr>
        <w:t>Contribuição para a redução da sobrecarga em unidades de pronto atendimento, com direcionamento adequado dos atendimentos de menor complexidade;</w:t>
      </w:r>
    </w:p>
    <w:p w14:paraId="3761782F">
      <w:pPr>
        <w:pStyle w:val="70"/>
        <w:numPr>
          <w:ilvl w:val="0"/>
          <w:numId w:val="3"/>
        </w:numPr>
        <w:spacing w:line="360" w:lineRule="auto"/>
        <w:jc w:val="both"/>
        <w:rPr>
          <w:rFonts w:ascii="Times New Roman" w:hAnsi="Times New Roman" w:cs="Times New Roman"/>
        </w:rPr>
      </w:pPr>
      <w:r>
        <w:rPr>
          <w:rFonts w:ascii="Times New Roman" w:hAnsi="Times New Roman" w:cs="Times New Roman"/>
        </w:rPr>
        <w:t>Estruturação de um serviço com acessibilidade, observando normas técnicas e requisitos legais de segurança, salubridade e conforto;</w:t>
      </w:r>
    </w:p>
    <w:p w14:paraId="37617830">
      <w:pPr>
        <w:pStyle w:val="70"/>
        <w:numPr>
          <w:ilvl w:val="0"/>
          <w:numId w:val="3"/>
        </w:numPr>
        <w:spacing w:line="360" w:lineRule="auto"/>
        <w:jc w:val="both"/>
        <w:rPr>
          <w:rFonts w:ascii="Times New Roman" w:hAnsi="Times New Roman" w:cs="Times New Roman"/>
        </w:rPr>
      </w:pPr>
      <w:r>
        <w:rPr>
          <w:rFonts w:ascii="Times New Roman" w:hAnsi="Times New Roman" w:cs="Times New Roman"/>
        </w:rPr>
        <w:t>Melhoria nos indicadores de saúde pública, com impacto positivo nas metas estabelecidas junto ao Ministério da Saúde;</w:t>
      </w:r>
    </w:p>
    <w:p w14:paraId="37617831">
      <w:pPr>
        <w:pStyle w:val="70"/>
        <w:numPr>
          <w:ilvl w:val="0"/>
          <w:numId w:val="3"/>
        </w:numPr>
        <w:spacing w:line="360" w:lineRule="auto"/>
        <w:jc w:val="both"/>
        <w:rPr>
          <w:rFonts w:ascii="Times New Roman" w:hAnsi="Times New Roman" w:cs="Times New Roman"/>
        </w:rPr>
      </w:pPr>
      <w:r>
        <w:rPr>
          <w:rFonts w:ascii="Times New Roman" w:hAnsi="Times New Roman" w:cs="Times New Roman"/>
        </w:rPr>
        <w:t>Aproveitamento eficiente de recursos públicos já investidos, por meio da conclusão de obra anteriormente iniciada;</w:t>
      </w:r>
    </w:p>
    <w:p w14:paraId="37617832">
      <w:pPr>
        <w:pStyle w:val="70"/>
        <w:numPr>
          <w:ilvl w:val="0"/>
          <w:numId w:val="3"/>
        </w:numPr>
        <w:spacing w:line="360" w:lineRule="auto"/>
        <w:jc w:val="both"/>
        <w:rPr>
          <w:rFonts w:ascii="Times New Roman" w:hAnsi="Times New Roman" w:cs="Times New Roman"/>
        </w:rPr>
      </w:pPr>
      <w:r>
        <w:rPr>
          <w:rFonts w:ascii="Times New Roman" w:hAnsi="Times New Roman" w:cs="Times New Roman"/>
        </w:rPr>
        <w:t>Disponibilização de uma base física e operacional apta a atender às demandas atuais e futuras da população.</w:t>
      </w:r>
    </w:p>
    <w:p w14:paraId="37617833">
      <w:pPr>
        <w:pStyle w:val="70"/>
        <w:spacing w:line="360" w:lineRule="auto"/>
        <w:ind w:firstLine="720"/>
        <w:jc w:val="both"/>
        <w:rPr>
          <w:rFonts w:ascii="Times New Roman" w:hAnsi="Times New Roman" w:cs="Times New Roman"/>
        </w:rPr>
      </w:pPr>
      <w:r>
        <w:rPr>
          <w:rFonts w:ascii="Times New Roman" w:hAnsi="Times New Roman" w:cs="Times New Roman"/>
        </w:rPr>
        <w:t>A conclusão da obra está orientada para gerar ganho efetivo de eficiência no sistema local de saúde, com foco na resolutividade, no atendimento humanizado e na economicidade da gestão pública. Trata-se de um investimento estratégico, fundamentado em necessidades reais da população e alinhado às diretrizes do Sistema Único de Saúde (SUS)</w:t>
      </w:r>
    </w:p>
    <w:tbl>
      <w:tblPr>
        <w:tblStyle w:val="79"/>
        <w:tblW w:w="10366" w:type="dxa"/>
        <w:tblInd w:w="0" w:type="dxa"/>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Layout w:type="fixed"/>
        <w:tblCellMar>
          <w:top w:w="0" w:type="dxa"/>
          <w:left w:w="108" w:type="dxa"/>
          <w:bottom w:w="0" w:type="dxa"/>
          <w:right w:w="108" w:type="dxa"/>
        </w:tblCellMar>
      </w:tblPr>
      <w:tblGrid>
        <w:gridCol w:w="10366"/>
      </w:tblGrid>
      <w:tr w14:paraId="37617835">
        <w:tblPrEx>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CellMar>
            <w:top w:w="0" w:type="dxa"/>
            <w:left w:w="108" w:type="dxa"/>
            <w:bottom w:w="0" w:type="dxa"/>
            <w:right w:w="108" w:type="dxa"/>
          </w:tblCellMar>
        </w:tblPrEx>
        <w:trPr>
          <w:trHeight w:val="367" w:hRule="atLeast"/>
        </w:trPr>
        <w:tc>
          <w:tcPr>
            <w:tcW w:w="10366" w:type="dxa"/>
            <w:shd w:val="clear" w:color="auto" w:fill="D0CECE" w:themeFill="background2" w:themeFillShade="E6"/>
            <w:vAlign w:val="center"/>
          </w:tcPr>
          <w:p w14:paraId="37617834">
            <w:pPr>
              <w:pStyle w:val="21"/>
              <w:spacing w:line="360" w:lineRule="auto"/>
              <w:jc w:val="both"/>
              <w:rPr>
                <w:rFonts w:ascii="Times New Roman" w:hAnsi="Times New Roman" w:cs="Times New Roman"/>
                <w:bCs/>
              </w:rPr>
            </w:pPr>
            <w:bookmarkStart w:id="11" w:name="_Toc194397107"/>
            <w:r>
              <w:rPr>
                <w:rFonts w:ascii="Times New Roman" w:hAnsi="Times New Roman" w:cs="Times New Roman"/>
              </w:rPr>
              <w:t xml:space="preserve">11. </w:t>
            </w:r>
            <w:r>
              <w:rPr>
                <w:rFonts w:ascii="Times New Roman" w:hAnsi="Times New Roman" w:cs="Times New Roman"/>
                <w:bCs/>
              </w:rPr>
              <w:t>PROVIDÊNCIAS A SEREM ADOTADAS PELA ADMINISTRAÇÃO PREVIAMENTE A CELEBRAÇÃO DO CONTRATO</w:t>
            </w:r>
            <w:r>
              <w:rPr>
                <w:rFonts w:ascii="Times New Roman" w:hAnsi="Times New Roman" w:cs="Times New Roman"/>
              </w:rPr>
              <w:t xml:space="preserve"> (art. 18º, §1º, INCISO “X”)</w:t>
            </w:r>
            <w:bookmarkEnd w:id="11"/>
          </w:p>
        </w:tc>
      </w:tr>
    </w:tbl>
    <w:p w14:paraId="37617836">
      <w:pPr>
        <w:pStyle w:val="70"/>
        <w:spacing w:line="360" w:lineRule="auto"/>
        <w:jc w:val="both"/>
        <w:rPr>
          <w:rFonts w:ascii="Times New Roman" w:hAnsi="Times New Roman" w:cs="Times New Roman"/>
          <w:lang w:val="pt-BR"/>
        </w:rPr>
      </w:pPr>
    </w:p>
    <w:p w14:paraId="37617837">
      <w:pPr>
        <w:spacing w:line="360" w:lineRule="auto"/>
        <w:ind w:left="2835" w:right="-1"/>
        <w:jc w:val="both"/>
        <w:rPr>
          <w:rFonts w:ascii="Times New Roman" w:hAnsi="Times New Roman" w:cs="Times New Roman"/>
          <w:sz w:val="18"/>
          <w:szCs w:val="14"/>
        </w:rPr>
      </w:pPr>
      <w:r>
        <w:rPr>
          <w:rFonts w:ascii="Times New Roman" w:hAnsi="Times New Roman" w:cs="Times New Roman"/>
          <w:b/>
          <w:bCs/>
          <w:sz w:val="18"/>
          <w:szCs w:val="14"/>
        </w:rPr>
        <w:t>Fundamentação:</w:t>
      </w:r>
      <w:r>
        <w:rPr>
          <w:rFonts w:ascii="Times New Roman" w:hAnsi="Times New Roman" w:cs="Times New Roman"/>
          <w:sz w:val="18"/>
          <w:szCs w:val="14"/>
        </w:rPr>
        <w:t xml:space="preserve"> providências a serem adotadas pela Administração previamente à celebração do contrato, inclusive quanto à capacitação de servidores ou de empregados para fiscalização e gestão contratual; (inciso X do § 1° do art. 18 da Lei 14.133/21 e Seção VI do Decreto Municipal 11.685/2023).</w:t>
      </w:r>
    </w:p>
    <w:p w14:paraId="37617838">
      <w:pPr>
        <w:pStyle w:val="70"/>
        <w:spacing w:line="360" w:lineRule="auto"/>
        <w:jc w:val="both"/>
        <w:rPr>
          <w:rFonts w:ascii="Times New Roman" w:hAnsi="Times New Roman" w:cs="Times New Roman"/>
          <w:lang w:val="pt-BR"/>
        </w:rPr>
      </w:pPr>
    </w:p>
    <w:p w14:paraId="37617839">
      <w:pPr>
        <w:pStyle w:val="70"/>
        <w:spacing w:line="360" w:lineRule="auto"/>
        <w:jc w:val="both"/>
        <w:rPr>
          <w:rFonts w:ascii="Times New Roman" w:hAnsi="Times New Roman" w:cs="Times New Roman"/>
        </w:rPr>
      </w:pPr>
      <w:r>
        <w:rPr>
          <w:rFonts w:ascii="Times New Roman" w:hAnsi="Times New Roman" w:cs="Times New Roman"/>
          <w:b/>
          <w:bCs/>
          <w:lang w:val="pt-BR"/>
        </w:rPr>
        <w:tab/>
      </w:r>
      <w:r>
        <w:rPr>
          <w:rFonts w:ascii="Times New Roman" w:hAnsi="Times New Roman" w:cs="Times New Roman"/>
        </w:rPr>
        <w:t>Para assegurar a adequada formalização do contrato e o pleno atendimento ao interesse público, serão adotadas, previamente à celebração contratual, as seguintes providências por parte da Administração Pública Municipal:</w:t>
      </w:r>
    </w:p>
    <w:p w14:paraId="3761783A">
      <w:pPr>
        <w:pStyle w:val="70"/>
        <w:spacing w:line="360" w:lineRule="auto"/>
        <w:jc w:val="both"/>
        <w:rPr>
          <w:rFonts w:ascii="Times New Roman" w:hAnsi="Times New Roman" w:cs="Times New Roman"/>
        </w:rPr>
      </w:pPr>
    </w:p>
    <w:p w14:paraId="3761783B">
      <w:pPr>
        <w:pStyle w:val="70"/>
        <w:spacing w:line="360" w:lineRule="auto"/>
        <w:ind w:firstLine="360"/>
        <w:jc w:val="both"/>
        <w:rPr>
          <w:rFonts w:ascii="Times New Roman" w:hAnsi="Times New Roman" w:cs="Times New Roman"/>
        </w:rPr>
      </w:pPr>
      <w:r>
        <w:rPr>
          <w:rFonts w:ascii="Times New Roman" w:hAnsi="Times New Roman" w:cs="Times New Roman"/>
          <w:b/>
          <w:bCs/>
        </w:rPr>
        <w:t>Por parte do contratado:</w:t>
      </w:r>
    </w:p>
    <w:p w14:paraId="3761783C">
      <w:pPr>
        <w:pStyle w:val="70"/>
        <w:numPr>
          <w:ilvl w:val="0"/>
          <w:numId w:val="4"/>
        </w:numPr>
        <w:spacing w:line="360" w:lineRule="auto"/>
        <w:jc w:val="both"/>
        <w:rPr>
          <w:rFonts w:ascii="Times New Roman" w:hAnsi="Times New Roman" w:cs="Times New Roman"/>
        </w:rPr>
      </w:pPr>
      <w:r>
        <w:rPr>
          <w:rFonts w:ascii="Times New Roman" w:hAnsi="Times New Roman" w:cs="Times New Roman"/>
        </w:rPr>
        <w:t>Observar e cumprir as normas legais, técnicas e administrativas aplicáveis à execução de obras públicas;</w:t>
      </w:r>
    </w:p>
    <w:p w14:paraId="3761783D">
      <w:pPr>
        <w:pStyle w:val="70"/>
        <w:numPr>
          <w:ilvl w:val="0"/>
          <w:numId w:val="4"/>
        </w:numPr>
        <w:spacing w:line="360" w:lineRule="auto"/>
        <w:jc w:val="both"/>
        <w:rPr>
          <w:rFonts w:ascii="Times New Roman" w:hAnsi="Times New Roman" w:cs="Times New Roman"/>
        </w:rPr>
      </w:pPr>
      <w:r>
        <w:rPr>
          <w:rFonts w:ascii="Times New Roman" w:hAnsi="Times New Roman" w:cs="Times New Roman"/>
        </w:rPr>
        <w:t>Executar os serviços em conformidade com os projetos, especificações técnicas e condições estabelecidas no Projeto Básico e demais anexos contratuais;</w:t>
      </w:r>
    </w:p>
    <w:p w14:paraId="3761783E">
      <w:pPr>
        <w:pStyle w:val="70"/>
        <w:numPr>
          <w:ilvl w:val="0"/>
          <w:numId w:val="4"/>
        </w:numPr>
        <w:spacing w:line="360" w:lineRule="auto"/>
        <w:jc w:val="both"/>
        <w:rPr>
          <w:rFonts w:ascii="Times New Roman" w:hAnsi="Times New Roman" w:cs="Times New Roman"/>
        </w:rPr>
      </w:pPr>
      <w:r>
        <w:rPr>
          <w:rFonts w:ascii="Times New Roman" w:hAnsi="Times New Roman" w:cs="Times New Roman"/>
        </w:rPr>
        <w:t>Manter o padrão de qualidade estabelecido no projeto, utilizando materiais e técnicas compatíveis com a boa prática da engenharia;</w:t>
      </w:r>
    </w:p>
    <w:p w14:paraId="3761783F">
      <w:pPr>
        <w:pStyle w:val="70"/>
        <w:numPr>
          <w:ilvl w:val="0"/>
          <w:numId w:val="4"/>
        </w:numPr>
        <w:spacing w:line="360" w:lineRule="auto"/>
        <w:jc w:val="both"/>
        <w:rPr>
          <w:rFonts w:ascii="Times New Roman" w:hAnsi="Times New Roman" w:cs="Times New Roman"/>
        </w:rPr>
      </w:pPr>
      <w:r>
        <w:rPr>
          <w:rFonts w:ascii="Times New Roman" w:hAnsi="Times New Roman" w:cs="Times New Roman"/>
        </w:rPr>
        <w:t>Comunicar formalmente qualquer ocorrência que comprometa a execução dos serviços ao Fiscal do Contrato;</w:t>
      </w:r>
    </w:p>
    <w:p w14:paraId="37617840">
      <w:pPr>
        <w:pStyle w:val="70"/>
        <w:numPr>
          <w:ilvl w:val="0"/>
          <w:numId w:val="4"/>
        </w:numPr>
        <w:spacing w:line="360" w:lineRule="auto"/>
        <w:jc w:val="both"/>
        <w:rPr>
          <w:rFonts w:ascii="Times New Roman" w:hAnsi="Times New Roman" w:cs="Times New Roman"/>
        </w:rPr>
      </w:pPr>
      <w:r>
        <w:rPr>
          <w:rFonts w:ascii="Times New Roman" w:hAnsi="Times New Roman" w:cs="Times New Roman"/>
        </w:rPr>
        <w:t>Prestar esclarecimentos e apresentar documentos sempre que solicitado pela Administração.</w:t>
      </w:r>
    </w:p>
    <w:p w14:paraId="37617841">
      <w:pPr>
        <w:pStyle w:val="70"/>
        <w:spacing w:line="360" w:lineRule="auto"/>
        <w:ind w:left="720"/>
        <w:jc w:val="both"/>
        <w:rPr>
          <w:rFonts w:ascii="Times New Roman" w:hAnsi="Times New Roman" w:cs="Times New Roman"/>
        </w:rPr>
      </w:pPr>
    </w:p>
    <w:p w14:paraId="37617842">
      <w:pPr>
        <w:pStyle w:val="70"/>
        <w:spacing w:line="360" w:lineRule="auto"/>
        <w:ind w:firstLine="360"/>
        <w:jc w:val="both"/>
        <w:rPr>
          <w:rFonts w:ascii="Times New Roman" w:hAnsi="Times New Roman" w:cs="Times New Roman"/>
        </w:rPr>
      </w:pPr>
      <w:r>
        <w:rPr>
          <w:rFonts w:ascii="Times New Roman" w:hAnsi="Times New Roman" w:cs="Times New Roman"/>
          <w:b/>
          <w:bCs/>
        </w:rPr>
        <w:t>Por parte da Administração Pública Municipal:</w:t>
      </w:r>
    </w:p>
    <w:p w14:paraId="37617843">
      <w:pPr>
        <w:pStyle w:val="70"/>
        <w:numPr>
          <w:ilvl w:val="0"/>
          <w:numId w:val="5"/>
        </w:numPr>
        <w:spacing w:line="360" w:lineRule="auto"/>
        <w:jc w:val="both"/>
        <w:rPr>
          <w:rFonts w:ascii="Times New Roman" w:hAnsi="Times New Roman" w:cs="Times New Roman"/>
        </w:rPr>
      </w:pPr>
      <w:r>
        <w:rPr>
          <w:rFonts w:ascii="Times New Roman" w:hAnsi="Times New Roman" w:cs="Times New Roman"/>
          <w:lang w:val="pt-BR"/>
        </w:rPr>
        <w:t>Realização da publicação do edital de licitação, conforme os ritos estabelecidos pela Lei nº 14.133/2021;</w:t>
      </w:r>
    </w:p>
    <w:p w14:paraId="37617844">
      <w:pPr>
        <w:pStyle w:val="70"/>
        <w:numPr>
          <w:ilvl w:val="0"/>
          <w:numId w:val="5"/>
        </w:numPr>
        <w:spacing w:line="360" w:lineRule="auto"/>
        <w:jc w:val="both"/>
        <w:rPr>
          <w:rFonts w:ascii="Times New Roman" w:hAnsi="Times New Roman" w:cs="Times New Roman"/>
        </w:rPr>
      </w:pPr>
      <w:r>
        <w:rPr>
          <w:rFonts w:ascii="Times New Roman" w:hAnsi="Times New Roman" w:cs="Times New Roman"/>
        </w:rPr>
        <w:t>Designar formalmente o(s) fiscal(is) do contrato, conforme os artigos 117 e 118 da Lei nº 14.133/2021, assegurando sua capacitação técnica;</w:t>
      </w:r>
    </w:p>
    <w:p w14:paraId="37617845">
      <w:pPr>
        <w:pStyle w:val="70"/>
        <w:numPr>
          <w:ilvl w:val="0"/>
          <w:numId w:val="5"/>
        </w:numPr>
        <w:spacing w:line="360" w:lineRule="auto"/>
        <w:jc w:val="both"/>
        <w:rPr>
          <w:rFonts w:ascii="Times New Roman" w:hAnsi="Times New Roman" w:cs="Times New Roman"/>
        </w:rPr>
      </w:pPr>
      <w:r>
        <w:rPr>
          <w:rFonts w:ascii="Times New Roman" w:hAnsi="Times New Roman" w:cs="Times New Roman"/>
        </w:rPr>
        <w:t>Providenciar a capacitação dos servidores envolvidos na gestão e fiscalização contratual, visando a melhoria contínua da atuação administrativa;</w:t>
      </w:r>
    </w:p>
    <w:p w14:paraId="37617846">
      <w:pPr>
        <w:pStyle w:val="70"/>
        <w:numPr>
          <w:ilvl w:val="0"/>
          <w:numId w:val="5"/>
        </w:numPr>
        <w:spacing w:line="360" w:lineRule="auto"/>
        <w:jc w:val="both"/>
        <w:rPr>
          <w:rFonts w:ascii="Times New Roman" w:hAnsi="Times New Roman" w:cs="Times New Roman"/>
        </w:rPr>
      </w:pPr>
      <w:r>
        <w:rPr>
          <w:rFonts w:ascii="Times New Roman" w:hAnsi="Times New Roman" w:cs="Times New Roman"/>
        </w:rPr>
        <w:t>Assegurar a disponibilidade orçamentária e financeira para a contratação;</w:t>
      </w:r>
    </w:p>
    <w:p w14:paraId="37617847">
      <w:pPr>
        <w:pStyle w:val="70"/>
        <w:numPr>
          <w:ilvl w:val="0"/>
          <w:numId w:val="5"/>
        </w:numPr>
        <w:spacing w:line="360" w:lineRule="auto"/>
        <w:jc w:val="both"/>
        <w:rPr>
          <w:rFonts w:ascii="Times New Roman" w:hAnsi="Times New Roman" w:cs="Times New Roman"/>
        </w:rPr>
      </w:pPr>
      <w:r>
        <w:rPr>
          <w:rFonts w:ascii="Times New Roman" w:hAnsi="Times New Roman" w:cs="Times New Roman"/>
        </w:rPr>
        <w:t>Verificar o atendimento integral às exigências dos projetos e do planejamento previamente estabelecido, garantindo a segurança jurídica do processo.</w:t>
      </w:r>
    </w:p>
    <w:p w14:paraId="37617848">
      <w:pPr>
        <w:pStyle w:val="70"/>
        <w:spacing w:line="360" w:lineRule="auto"/>
        <w:jc w:val="both"/>
        <w:rPr>
          <w:rFonts w:ascii="Times New Roman" w:hAnsi="Times New Roman" w:cs="Times New Roman"/>
          <w:lang w:val="pt-BR"/>
        </w:rPr>
      </w:pPr>
    </w:p>
    <w:p w14:paraId="37617849">
      <w:pPr>
        <w:pStyle w:val="70"/>
        <w:spacing w:line="360" w:lineRule="auto"/>
        <w:jc w:val="both"/>
        <w:rPr>
          <w:rFonts w:ascii="Times New Roman" w:hAnsi="Times New Roman" w:cs="Times New Roman"/>
          <w:lang w:val="pt-BR"/>
        </w:rPr>
      </w:pPr>
    </w:p>
    <w:p w14:paraId="3761784A">
      <w:pPr>
        <w:pStyle w:val="70"/>
        <w:spacing w:line="360" w:lineRule="auto"/>
        <w:jc w:val="both"/>
        <w:rPr>
          <w:rFonts w:ascii="Times New Roman" w:hAnsi="Times New Roman" w:cs="Times New Roman"/>
          <w:lang w:val="pt-BR"/>
        </w:rPr>
      </w:pPr>
    </w:p>
    <w:p w14:paraId="3761784B">
      <w:pPr>
        <w:pStyle w:val="70"/>
        <w:spacing w:line="360" w:lineRule="auto"/>
        <w:jc w:val="both"/>
        <w:rPr>
          <w:rFonts w:ascii="Times New Roman" w:hAnsi="Times New Roman" w:cs="Times New Roman"/>
          <w:lang w:val="pt-BR"/>
        </w:rPr>
      </w:pPr>
    </w:p>
    <w:tbl>
      <w:tblPr>
        <w:tblStyle w:val="79"/>
        <w:tblW w:w="10366" w:type="dxa"/>
        <w:tblInd w:w="0" w:type="dxa"/>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Layout w:type="fixed"/>
        <w:tblCellMar>
          <w:top w:w="0" w:type="dxa"/>
          <w:left w:w="108" w:type="dxa"/>
          <w:bottom w:w="0" w:type="dxa"/>
          <w:right w:w="108" w:type="dxa"/>
        </w:tblCellMar>
      </w:tblPr>
      <w:tblGrid>
        <w:gridCol w:w="10366"/>
      </w:tblGrid>
      <w:tr w14:paraId="3761784D">
        <w:tblPrEx>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CellMar>
            <w:top w:w="0" w:type="dxa"/>
            <w:left w:w="108" w:type="dxa"/>
            <w:bottom w:w="0" w:type="dxa"/>
            <w:right w:w="108" w:type="dxa"/>
          </w:tblCellMar>
        </w:tblPrEx>
        <w:trPr>
          <w:trHeight w:val="367" w:hRule="atLeast"/>
        </w:trPr>
        <w:tc>
          <w:tcPr>
            <w:tcW w:w="10366" w:type="dxa"/>
            <w:shd w:val="clear" w:color="auto" w:fill="D0CECE" w:themeFill="background2" w:themeFillShade="E6"/>
            <w:vAlign w:val="center"/>
          </w:tcPr>
          <w:p w14:paraId="3761784C">
            <w:pPr>
              <w:pStyle w:val="21"/>
              <w:spacing w:line="360" w:lineRule="auto"/>
              <w:jc w:val="both"/>
              <w:rPr>
                <w:rFonts w:ascii="Times New Roman" w:hAnsi="Times New Roman" w:cs="Times New Roman"/>
              </w:rPr>
            </w:pPr>
            <w:bookmarkStart w:id="12" w:name="_Toc194397108"/>
            <w:r>
              <w:rPr>
                <w:rFonts w:ascii="Times New Roman" w:hAnsi="Times New Roman" w:cs="Times New Roman"/>
              </w:rPr>
              <w:t>12. CONTRATAÇÕES CORRELATAS E/OU INTERDEPENDENTES (art. 18º, §1º, INCISO “XI”)</w:t>
            </w:r>
            <w:bookmarkEnd w:id="12"/>
          </w:p>
        </w:tc>
      </w:tr>
    </w:tbl>
    <w:p w14:paraId="3761784E">
      <w:pPr>
        <w:pStyle w:val="70"/>
        <w:spacing w:line="360" w:lineRule="auto"/>
        <w:jc w:val="both"/>
        <w:rPr>
          <w:rFonts w:ascii="Times New Roman" w:hAnsi="Times New Roman" w:cs="Times New Roman"/>
          <w:lang w:val="pt-BR"/>
        </w:rPr>
      </w:pPr>
    </w:p>
    <w:p w14:paraId="3761784F">
      <w:pPr>
        <w:spacing w:line="360" w:lineRule="auto"/>
        <w:ind w:left="2835" w:right="-1"/>
        <w:jc w:val="both"/>
        <w:rPr>
          <w:rFonts w:ascii="Times New Roman" w:hAnsi="Times New Roman" w:cs="Times New Roman"/>
          <w:sz w:val="18"/>
          <w:szCs w:val="14"/>
        </w:rPr>
      </w:pPr>
      <w:r>
        <w:rPr>
          <w:rFonts w:ascii="Times New Roman" w:hAnsi="Times New Roman" w:cs="Times New Roman"/>
          <w:b/>
          <w:bCs/>
          <w:sz w:val="18"/>
          <w:szCs w:val="14"/>
        </w:rPr>
        <w:t>Fundamentação:</w:t>
      </w:r>
      <w:r>
        <w:rPr>
          <w:rFonts w:ascii="Times New Roman" w:hAnsi="Times New Roman" w:cs="Times New Roman"/>
          <w:sz w:val="18"/>
          <w:szCs w:val="14"/>
        </w:rPr>
        <w:t xml:space="preserve"> contratações correlatas e/ou interdependentes; (inciso XI do § 1° do art. 18 da Lei 14.133/21 e Seção VI do Decreto Municipal 11.685/2023).</w:t>
      </w:r>
    </w:p>
    <w:p w14:paraId="37617850">
      <w:pPr>
        <w:pStyle w:val="70"/>
        <w:spacing w:line="360" w:lineRule="auto"/>
        <w:jc w:val="both"/>
        <w:rPr>
          <w:rFonts w:ascii="Times New Roman" w:hAnsi="Times New Roman" w:cs="Times New Roman"/>
          <w:lang w:val="pt-BR"/>
        </w:rPr>
      </w:pPr>
      <w:r>
        <w:rPr>
          <w:rFonts w:ascii="Times New Roman" w:hAnsi="Times New Roman" w:cs="Times New Roman"/>
          <w:lang w:val="pt-BR"/>
        </w:rPr>
        <w:tab/>
      </w:r>
    </w:p>
    <w:p w14:paraId="37617851">
      <w:pPr>
        <w:pStyle w:val="70"/>
        <w:spacing w:line="360" w:lineRule="auto"/>
        <w:jc w:val="both"/>
        <w:rPr>
          <w:rFonts w:ascii="Times New Roman" w:hAnsi="Times New Roman" w:cs="Times New Roman"/>
        </w:rPr>
      </w:pPr>
      <w:r>
        <w:rPr>
          <w:rFonts w:ascii="Times New Roman" w:hAnsi="Times New Roman" w:cs="Times New Roman"/>
          <w:lang w:val="pt-BR"/>
        </w:rPr>
        <w:tab/>
      </w:r>
      <w:r>
        <w:rPr>
          <w:rFonts w:ascii="Times New Roman" w:hAnsi="Times New Roman" w:cs="Times New Roman"/>
        </w:rPr>
        <w:t>Em análise geral, verifica-se que a presente contratação possui escopo definido e contempla todas as etapas necessárias para a conclusão da obra remanescente da Unidade Básica de Saúde (UBS) de Porte I do Bairro Jardim Nossa Senhora da Glória, de modo que não há necessidade de contratações correlatas ou interdependentes no âmbito do processo licitatório principal.</w:t>
      </w:r>
    </w:p>
    <w:p w14:paraId="37617852">
      <w:pPr>
        <w:pStyle w:val="70"/>
        <w:spacing w:line="360" w:lineRule="auto"/>
        <w:ind w:firstLine="720"/>
        <w:jc w:val="both"/>
        <w:rPr>
          <w:rFonts w:ascii="Times New Roman" w:hAnsi="Times New Roman" w:cs="Times New Roman"/>
        </w:rPr>
      </w:pPr>
      <w:r>
        <w:rPr>
          <w:rFonts w:ascii="Times New Roman" w:hAnsi="Times New Roman" w:cs="Times New Roman"/>
        </w:rPr>
        <w:t>Entretanto, para que a unidade de saúde esteja plenamente apta a operar e atender à população com qualidade, serão necessárias contratações complementares, a serem realizadas de forma paralela ou posterior à execução da obra. Tais aquisições, embora não integrem o presente processo licitatório, são indispensáveis para a plena funcionalidade da edificação.</w:t>
      </w:r>
    </w:p>
    <w:p w14:paraId="37617853">
      <w:pPr>
        <w:pStyle w:val="70"/>
        <w:spacing w:line="360" w:lineRule="auto"/>
        <w:jc w:val="both"/>
        <w:rPr>
          <w:rFonts w:ascii="Times New Roman" w:hAnsi="Times New Roman" w:cs="Times New Roman"/>
        </w:rPr>
      </w:pPr>
      <w:r>
        <w:rPr>
          <w:rFonts w:ascii="Times New Roman" w:hAnsi="Times New Roman" w:cs="Times New Roman"/>
        </w:rPr>
        <w:t>Entre as possíveis contratações complementares, destacam-se:</w:t>
      </w:r>
    </w:p>
    <w:p w14:paraId="37617854">
      <w:pPr>
        <w:pStyle w:val="70"/>
        <w:numPr>
          <w:ilvl w:val="0"/>
          <w:numId w:val="6"/>
        </w:numPr>
        <w:spacing w:line="360" w:lineRule="auto"/>
        <w:jc w:val="both"/>
        <w:rPr>
          <w:rFonts w:ascii="Times New Roman" w:hAnsi="Times New Roman" w:cs="Times New Roman"/>
        </w:rPr>
      </w:pPr>
      <w:r>
        <w:rPr>
          <w:rFonts w:ascii="Times New Roman" w:hAnsi="Times New Roman" w:cs="Times New Roman"/>
        </w:rPr>
        <w:t>Aquisição de mobiliário administrativo e assistencial;</w:t>
      </w:r>
    </w:p>
    <w:p w14:paraId="37617855">
      <w:pPr>
        <w:pStyle w:val="70"/>
        <w:numPr>
          <w:ilvl w:val="0"/>
          <w:numId w:val="6"/>
        </w:numPr>
        <w:spacing w:line="360" w:lineRule="auto"/>
        <w:jc w:val="both"/>
        <w:rPr>
          <w:rFonts w:ascii="Times New Roman" w:hAnsi="Times New Roman" w:cs="Times New Roman"/>
        </w:rPr>
      </w:pPr>
      <w:r>
        <w:rPr>
          <w:rFonts w:ascii="Times New Roman" w:hAnsi="Times New Roman" w:cs="Times New Roman"/>
        </w:rPr>
        <w:t>Aquisição de equipamentos médicos, odontológicos e hospitalares;</w:t>
      </w:r>
    </w:p>
    <w:p w14:paraId="37617856">
      <w:pPr>
        <w:pStyle w:val="70"/>
        <w:numPr>
          <w:ilvl w:val="0"/>
          <w:numId w:val="6"/>
        </w:numPr>
        <w:spacing w:line="360" w:lineRule="auto"/>
        <w:jc w:val="both"/>
        <w:rPr>
          <w:rFonts w:ascii="Times New Roman" w:hAnsi="Times New Roman" w:cs="Times New Roman"/>
        </w:rPr>
      </w:pPr>
      <w:r>
        <w:rPr>
          <w:rFonts w:ascii="Times New Roman" w:hAnsi="Times New Roman" w:cs="Times New Roman"/>
        </w:rPr>
        <w:t>Aquisição e instalação de equipamentos de informática e sistemas de comunicação.</w:t>
      </w:r>
    </w:p>
    <w:p w14:paraId="37617857">
      <w:pPr>
        <w:pStyle w:val="70"/>
        <w:spacing w:line="360" w:lineRule="auto"/>
        <w:jc w:val="both"/>
        <w:rPr>
          <w:rFonts w:ascii="Times New Roman" w:hAnsi="Times New Roman" w:cs="Times New Roman"/>
          <w:lang w:val="pt-BR"/>
        </w:rPr>
      </w:pPr>
    </w:p>
    <w:tbl>
      <w:tblPr>
        <w:tblStyle w:val="79"/>
        <w:tblW w:w="10366" w:type="dxa"/>
        <w:tblInd w:w="0" w:type="dxa"/>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Layout w:type="fixed"/>
        <w:tblCellMar>
          <w:top w:w="0" w:type="dxa"/>
          <w:left w:w="108" w:type="dxa"/>
          <w:bottom w:w="0" w:type="dxa"/>
          <w:right w:w="108" w:type="dxa"/>
        </w:tblCellMar>
      </w:tblPr>
      <w:tblGrid>
        <w:gridCol w:w="10366"/>
      </w:tblGrid>
      <w:tr w14:paraId="37617859">
        <w:tblPrEx>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CellMar>
            <w:top w:w="0" w:type="dxa"/>
            <w:left w:w="108" w:type="dxa"/>
            <w:bottom w:w="0" w:type="dxa"/>
            <w:right w:w="108" w:type="dxa"/>
          </w:tblCellMar>
        </w:tblPrEx>
        <w:trPr>
          <w:trHeight w:val="367" w:hRule="atLeast"/>
        </w:trPr>
        <w:tc>
          <w:tcPr>
            <w:tcW w:w="10366" w:type="dxa"/>
            <w:shd w:val="clear" w:color="auto" w:fill="D0CECE" w:themeFill="background2" w:themeFillShade="E6"/>
            <w:vAlign w:val="center"/>
          </w:tcPr>
          <w:p w14:paraId="37617858">
            <w:pPr>
              <w:pStyle w:val="21"/>
              <w:spacing w:line="360" w:lineRule="auto"/>
              <w:jc w:val="both"/>
              <w:rPr>
                <w:rFonts w:ascii="Times New Roman" w:hAnsi="Times New Roman" w:cs="Times New Roman"/>
              </w:rPr>
            </w:pPr>
            <w:bookmarkStart w:id="13" w:name="_Toc194397109"/>
            <w:r>
              <w:rPr>
                <w:rFonts w:ascii="Times New Roman" w:hAnsi="Times New Roman" w:cs="Times New Roman"/>
              </w:rPr>
              <w:t>13. DESCRIÇÃO DE POSSÍVEIS IMPACTOS AMBIENTAIS (art. 18º, §1º, INCISO “XII”)</w:t>
            </w:r>
            <w:bookmarkEnd w:id="13"/>
          </w:p>
        </w:tc>
      </w:tr>
    </w:tbl>
    <w:p w14:paraId="3761785A">
      <w:pPr>
        <w:pStyle w:val="70"/>
        <w:spacing w:line="360" w:lineRule="auto"/>
        <w:jc w:val="both"/>
        <w:rPr>
          <w:rFonts w:ascii="Times New Roman" w:hAnsi="Times New Roman" w:cs="Times New Roman"/>
          <w:lang w:val="pt-BR"/>
        </w:rPr>
      </w:pPr>
    </w:p>
    <w:p w14:paraId="3761785B">
      <w:pPr>
        <w:spacing w:line="360" w:lineRule="auto"/>
        <w:ind w:left="2835" w:right="-1"/>
        <w:jc w:val="both"/>
        <w:rPr>
          <w:rFonts w:ascii="Times New Roman" w:hAnsi="Times New Roman" w:cs="Times New Roman"/>
          <w:sz w:val="18"/>
          <w:szCs w:val="14"/>
        </w:rPr>
      </w:pPr>
      <w:r>
        <w:rPr>
          <w:rFonts w:ascii="Times New Roman" w:hAnsi="Times New Roman" w:cs="Times New Roman"/>
          <w:b/>
          <w:bCs/>
          <w:sz w:val="18"/>
          <w:szCs w:val="14"/>
        </w:rPr>
        <w:t>Fundamentação:</w:t>
      </w:r>
      <w:r>
        <w:rPr>
          <w:rFonts w:ascii="Times New Roman" w:hAnsi="Times New Roman" w:cs="Times New Roman"/>
          <w:sz w:val="18"/>
          <w:szCs w:val="14"/>
        </w:rPr>
        <w:t xml:space="preserve"> descrição de possíveis impactos ambientais e respectivas medidas mitigadoras, incluídos requisitos de baixo consumo de energia e de outros recursos, bem como logística reversa para desfazimento e reciclagem de bens e refugos, quando aplicável; (inciso XI do § 1° do art. 18 da Lei 14.133/21 e Seção VI do Decreto Municipal 11.685/2023).</w:t>
      </w:r>
    </w:p>
    <w:p w14:paraId="3761785C">
      <w:pPr>
        <w:pStyle w:val="70"/>
        <w:spacing w:line="360" w:lineRule="auto"/>
        <w:jc w:val="both"/>
        <w:rPr>
          <w:rFonts w:ascii="Times New Roman" w:hAnsi="Times New Roman" w:cs="Times New Roman"/>
          <w:lang w:val="pt-BR"/>
        </w:rPr>
      </w:pPr>
    </w:p>
    <w:p w14:paraId="3761785D">
      <w:pPr>
        <w:pStyle w:val="70"/>
        <w:spacing w:line="360" w:lineRule="auto"/>
        <w:ind w:firstLine="720"/>
        <w:jc w:val="both"/>
        <w:rPr>
          <w:rFonts w:ascii="Times New Roman" w:hAnsi="Times New Roman" w:cs="Times New Roman"/>
        </w:rPr>
      </w:pPr>
      <w:r>
        <w:rPr>
          <w:rFonts w:ascii="Times New Roman" w:hAnsi="Times New Roman" w:cs="Times New Roman"/>
        </w:rPr>
        <w:t>A execução da obra para conclusão da Unidade Básica de Saúde (UBS) de Porte I do Bairro Jardim Nossa Senhora da Glória poderá ocasionar impactos ambientais típicos de empreendimentos da construção civil, especialmente no que se refere à geração de resíduos sólidos, emissão de poeira e ruídos, consumo de recursos naturais como água e energia elétrica, bem como intervenções pontuais na infraestrutura já existente.</w:t>
      </w:r>
    </w:p>
    <w:p w14:paraId="3761785E">
      <w:pPr>
        <w:pStyle w:val="70"/>
        <w:spacing w:line="360" w:lineRule="auto"/>
        <w:ind w:firstLine="720"/>
        <w:jc w:val="both"/>
        <w:rPr>
          <w:rFonts w:ascii="Times New Roman" w:hAnsi="Times New Roman" w:cs="Times New Roman"/>
        </w:rPr>
      </w:pPr>
      <w:r>
        <w:rPr>
          <w:rFonts w:ascii="Times New Roman" w:hAnsi="Times New Roman" w:cs="Times New Roman"/>
        </w:rPr>
        <w:t>Entretanto, tais impactos são considerados de baixa complexidade, previsíveis e mitigáveis, desde que sejam adotadas medidas preventivas e corretivas durante a execução dos serviços remanescentes, tais como:</w:t>
      </w:r>
    </w:p>
    <w:p w14:paraId="3761785F">
      <w:pPr>
        <w:pStyle w:val="70"/>
        <w:numPr>
          <w:ilvl w:val="0"/>
          <w:numId w:val="7"/>
        </w:numPr>
        <w:spacing w:line="360" w:lineRule="auto"/>
        <w:jc w:val="both"/>
        <w:rPr>
          <w:rFonts w:ascii="Times New Roman" w:hAnsi="Times New Roman" w:cs="Times New Roman"/>
        </w:rPr>
      </w:pPr>
      <w:r>
        <w:rPr>
          <w:rFonts w:ascii="Times New Roman" w:hAnsi="Times New Roman" w:cs="Times New Roman"/>
        </w:rPr>
        <w:t>Destinação adequada dos resíduos sólidos, em conformidade com as normas ambientais vigentes;</w:t>
      </w:r>
    </w:p>
    <w:p w14:paraId="37617860">
      <w:pPr>
        <w:pStyle w:val="70"/>
        <w:numPr>
          <w:ilvl w:val="0"/>
          <w:numId w:val="7"/>
        </w:numPr>
        <w:spacing w:line="360" w:lineRule="auto"/>
        <w:jc w:val="both"/>
        <w:rPr>
          <w:rFonts w:ascii="Times New Roman" w:hAnsi="Times New Roman" w:cs="Times New Roman"/>
        </w:rPr>
      </w:pPr>
      <w:r>
        <w:rPr>
          <w:rFonts w:ascii="Times New Roman" w:hAnsi="Times New Roman" w:cs="Times New Roman"/>
        </w:rPr>
        <w:t>Controle da emissão de partículas e poluentes atmosféricos durante as atividades construtivas;</w:t>
      </w:r>
    </w:p>
    <w:p w14:paraId="37617861">
      <w:pPr>
        <w:pStyle w:val="70"/>
        <w:numPr>
          <w:ilvl w:val="0"/>
          <w:numId w:val="7"/>
        </w:numPr>
        <w:spacing w:line="360" w:lineRule="auto"/>
        <w:jc w:val="both"/>
        <w:rPr>
          <w:rFonts w:ascii="Times New Roman" w:hAnsi="Times New Roman" w:cs="Times New Roman"/>
        </w:rPr>
      </w:pPr>
      <w:r>
        <w:rPr>
          <w:rFonts w:ascii="Times New Roman" w:hAnsi="Times New Roman" w:cs="Times New Roman"/>
        </w:rPr>
        <w:t>Uso racional de água e energia ao longo da execução da obra;</w:t>
      </w:r>
    </w:p>
    <w:p w14:paraId="37617862">
      <w:pPr>
        <w:pStyle w:val="70"/>
        <w:numPr>
          <w:ilvl w:val="0"/>
          <w:numId w:val="7"/>
        </w:numPr>
        <w:spacing w:line="360" w:lineRule="auto"/>
        <w:jc w:val="both"/>
        <w:rPr>
          <w:rFonts w:ascii="Times New Roman" w:hAnsi="Times New Roman" w:cs="Times New Roman"/>
        </w:rPr>
      </w:pPr>
      <w:r>
        <w:rPr>
          <w:rFonts w:ascii="Times New Roman" w:hAnsi="Times New Roman" w:cs="Times New Roman"/>
        </w:rPr>
        <w:t>Redução da poluição sonora mediante utilização de equipamentos dentro dos padrões permitidos pela legislação;</w:t>
      </w:r>
    </w:p>
    <w:p w14:paraId="37617863">
      <w:pPr>
        <w:pStyle w:val="70"/>
        <w:numPr>
          <w:ilvl w:val="0"/>
          <w:numId w:val="7"/>
        </w:numPr>
        <w:spacing w:line="360" w:lineRule="auto"/>
        <w:jc w:val="both"/>
        <w:rPr>
          <w:rFonts w:ascii="Times New Roman" w:hAnsi="Times New Roman" w:cs="Times New Roman"/>
        </w:rPr>
      </w:pPr>
      <w:r>
        <w:rPr>
          <w:rFonts w:ascii="Times New Roman" w:hAnsi="Times New Roman" w:cs="Times New Roman"/>
        </w:rPr>
        <w:t>Controle adequado do descarte de efluentes e preservação das condições do entorno da obra.</w:t>
      </w:r>
    </w:p>
    <w:p w14:paraId="37617864">
      <w:pPr>
        <w:pStyle w:val="70"/>
        <w:spacing w:line="360" w:lineRule="auto"/>
        <w:ind w:firstLine="720"/>
        <w:jc w:val="both"/>
        <w:rPr>
          <w:rFonts w:ascii="Times New Roman" w:hAnsi="Times New Roman" w:cs="Times New Roman"/>
        </w:rPr>
      </w:pPr>
      <w:r>
        <w:rPr>
          <w:rFonts w:ascii="Times New Roman" w:hAnsi="Times New Roman" w:cs="Times New Roman"/>
        </w:rPr>
        <w:t>A contratada deverá observar as normas técnicas aplicáveis da Associação Brasileira de Normas Técnicas, bem como as diretrizes da Lei nº 6.938/1981, resoluções do CONAMA e demais legislações ambientais pertinentes.</w:t>
      </w:r>
    </w:p>
    <w:p w14:paraId="37617865">
      <w:pPr>
        <w:pStyle w:val="70"/>
        <w:spacing w:line="360" w:lineRule="auto"/>
        <w:ind w:firstLine="720"/>
        <w:jc w:val="both"/>
        <w:rPr>
          <w:rFonts w:ascii="Times New Roman" w:hAnsi="Times New Roman" w:cs="Times New Roman"/>
        </w:rPr>
      </w:pPr>
      <w:r>
        <w:rPr>
          <w:rFonts w:ascii="Times New Roman" w:hAnsi="Times New Roman" w:cs="Times New Roman"/>
        </w:rPr>
        <w:t>Adicionalmente, a contratada deverá garantir o cumprimento das normas de segurança do trabalho, assegurando condições adequadas para os trabalhadores envolvidos na execução da obra, especialmente no manuseio de ferramentas, equipamentos e materiais, conforme a legislação vigente.</w:t>
      </w:r>
    </w:p>
    <w:p w14:paraId="37617866">
      <w:pPr>
        <w:pStyle w:val="70"/>
        <w:spacing w:line="360" w:lineRule="auto"/>
        <w:ind w:firstLine="720"/>
        <w:jc w:val="both"/>
        <w:rPr>
          <w:rFonts w:ascii="Times New Roman" w:hAnsi="Times New Roman" w:cs="Times New Roman"/>
        </w:rPr>
      </w:pPr>
      <w:r>
        <w:rPr>
          <w:rFonts w:ascii="Times New Roman" w:hAnsi="Times New Roman" w:cs="Times New Roman"/>
        </w:rPr>
        <w:t>A empresa contratada será integralmente responsável por quaisquer ações e/ou omissões relacionadas ao manejo de resíduos e rejeitos sólidos, líquidos ou derivados no canteiro de obras, devendo promover sua remoção e destinação final ambientalmente adequada, em conformidade com a legislação aplicável.</w:t>
      </w:r>
    </w:p>
    <w:p w14:paraId="37617867">
      <w:pPr>
        <w:pStyle w:val="70"/>
        <w:spacing w:line="360" w:lineRule="auto"/>
        <w:ind w:firstLine="720"/>
        <w:jc w:val="both"/>
        <w:rPr>
          <w:rFonts w:ascii="Times New Roman" w:hAnsi="Times New Roman" w:cs="Times New Roman"/>
        </w:rPr>
      </w:pPr>
      <w:r>
        <w:rPr>
          <w:rFonts w:ascii="Times New Roman" w:hAnsi="Times New Roman" w:cs="Times New Roman"/>
        </w:rPr>
        <w:t>A fiscalização quanto ao atendimento das exigências ambientais e de segurança será realizada pela Administração Pública Municipal, assegurando a conformidade das ações com os padrões técnicos e sustentáveis estabelecidos.</w:t>
      </w:r>
    </w:p>
    <w:p w14:paraId="37617868">
      <w:pPr>
        <w:pStyle w:val="70"/>
        <w:spacing w:line="360" w:lineRule="auto"/>
        <w:ind w:firstLine="720"/>
        <w:jc w:val="both"/>
        <w:rPr>
          <w:rFonts w:ascii="Times New Roman" w:hAnsi="Times New Roman" w:cs="Times New Roman"/>
        </w:rPr>
      </w:pPr>
    </w:p>
    <w:tbl>
      <w:tblPr>
        <w:tblStyle w:val="79"/>
        <w:tblW w:w="10366" w:type="dxa"/>
        <w:tblInd w:w="0" w:type="dxa"/>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Layout w:type="fixed"/>
        <w:tblCellMar>
          <w:top w:w="0" w:type="dxa"/>
          <w:left w:w="108" w:type="dxa"/>
          <w:bottom w:w="0" w:type="dxa"/>
          <w:right w:w="108" w:type="dxa"/>
        </w:tblCellMar>
      </w:tblPr>
      <w:tblGrid>
        <w:gridCol w:w="10366"/>
      </w:tblGrid>
      <w:tr w14:paraId="3761786A">
        <w:tblPrEx>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CellMar>
            <w:top w:w="0" w:type="dxa"/>
            <w:left w:w="108" w:type="dxa"/>
            <w:bottom w:w="0" w:type="dxa"/>
            <w:right w:w="108" w:type="dxa"/>
          </w:tblCellMar>
        </w:tblPrEx>
        <w:trPr>
          <w:trHeight w:val="367" w:hRule="atLeast"/>
        </w:trPr>
        <w:tc>
          <w:tcPr>
            <w:tcW w:w="10366" w:type="dxa"/>
            <w:shd w:val="clear" w:color="auto" w:fill="D0CECE" w:themeFill="background2" w:themeFillShade="E6"/>
            <w:vAlign w:val="center"/>
          </w:tcPr>
          <w:p w14:paraId="37617869">
            <w:pPr>
              <w:pStyle w:val="21"/>
              <w:spacing w:line="360" w:lineRule="auto"/>
              <w:jc w:val="both"/>
              <w:rPr>
                <w:rFonts w:ascii="Times New Roman" w:hAnsi="Times New Roman" w:cs="Times New Roman"/>
              </w:rPr>
            </w:pPr>
            <w:bookmarkStart w:id="14" w:name="_Toc194397110"/>
            <w:r>
              <w:rPr>
                <w:rFonts w:ascii="Times New Roman" w:hAnsi="Times New Roman" w:cs="Times New Roman"/>
              </w:rPr>
              <w:t>14. POSICIONAMENTO CONCLUSIVO SOBRE A VIABILIDADE DA CONTRATAÇÃO (art. 18º, §1º, INCISO “XIII”)</w:t>
            </w:r>
            <w:bookmarkEnd w:id="14"/>
          </w:p>
        </w:tc>
      </w:tr>
    </w:tbl>
    <w:p w14:paraId="3761786B">
      <w:pPr>
        <w:pStyle w:val="70"/>
        <w:spacing w:line="360" w:lineRule="auto"/>
        <w:jc w:val="both"/>
        <w:rPr>
          <w:rFonts w:ascii="Times New Roman" w:hAnsi="Times New Roman" w:cs="Times New Roman"/>
          <w:lang w:val="pt-BR"/>
        </w:rPr>
      </w:pPr>
    </w:p>
    <w:p w14:paraId="3761786C">
      <w:pPr>
        <w:spacing w:line="360" w:lineRule="auto"/>
        <w:ind w:left="2835" w:right="-1"/>
        <w:jc w:val="both"/>
        <w:rPr>
          <w:rFonts w:ascii="Times New Roman" w:hAnsi="Times New Roman" w:cs="Times New Roman"/>
          <w:sz w:val="18"/>
          <w:szCs w:val="14"/>
        </w:rPr>
      </w:pPr>
      <w:r>
        <w:rPr>
          <w:rFonts w:ascii="Times New Roman" w:hAnsi="Times New Roman" w:cs="Times New Roman"/>
          <w:b/>
          <w:bCs/>
          <w:sz w:val="18"/>
          <w:szCs w:val="14"/>
        </w:rPr>
        <w:t>Fundamentação:</w:t>
      </w:r>
      <w:r>
        <w:rPr>
          <w:rFonts w:ascii="Times New Roman" w:hAnsi="Times New Roman" w:cs="Times New Roman"/>
          <w:sz w:val="18"/>
          <w:szCs w:val="14"/>
        </w:rPr>
        <w:t xml:space="preserve">  posicionamento conclusivo sobre a adequação da contratação para o atendimento da necessidade a que se destina.; (inciso XI do § 1° do art. 18 da Lei 14.133/21 e Seção VI do Decreto Municipal 11.685/2023).</w:t>
      </w:r>
    </w:p>
    <w:p w14:paraId="3761786D">
      <w:pPr>
        <w:pStyle w:val="70"/>
        <w:spacing w:line="360" w:lineRule="auto"/>
        <w:jc w:val="both"/>
        <w:rPr>
          <w:rFonts w:ascii="Times New Roman" w:hAnsi="Times New Roman" w:cs="Times New Roman"/>
          <w:lang w:val="pt-BR"/>
        </w:rPr>
      </w:pPr>
      <w:r>
        <w:rPr>
          <w:rFonts w:ascii="Times New Roman" w:hAnsi="Times New Roman" w:cs="Times New Roman"/>
          <w:lang w:val="pt-BR"/>
        </w:rPr>
        <w:tab/>
      </w:r>
      <w:r>
        <w:rPr>
          <w:rFonts w:ascii="Times New Roman" w:hAnsi="Times New Roman" w:cs="Times New Roman"/>
          <w:lang w:val="pt-BR"/>
        </w:rPr>
        <w:t>A partir das análises desenvolvidas neste Estudo Técnico Preliminar, verifica-se que a contratação para a execução da obra remanescente da Unidade Básica de Saúde (UBS) de Porte I do Bairro Jardim Nossa Senhora da Glória é plenamente viável, estratégica e devidamente justificada diante das necessidades identificadas na rede pública de atenção básica à saúde no município de Rondonópolis – MT.</w:t>
      </w:r>
    </w:p>
    <w:p w14:paraId="3761786E">
      <w:pPr>
        <w:pStyle w:val="70"/>
        <w:spacing w:line="360" w:lineRule="auto"/>
        <w:ind w:firstLine="720"/>
        <w:jc w:val="both"/>
        <w:rPr>
          <w:rFonts w:ascii="Times New Roman" w:hAnsi="Times New Roman" w:cs="Times New Roman"/>
          <w:lang w:val="pt-BR"/>
        </w:rPr>
      </w:pPr>
      <w:r>
        <w:rPr>
          <w:rFonts w:ascii="Times New Roman" w:hAnsi="Times New Roman" w:cs="Times New Roman"/>
          <w:lang w:val="pt-BR"/>
        </w:rPr>
        <w:t>A proposta atende a uma demanda concreta da população por serviços básicos de saúde na região e se apresenta como alternativa eficiente para a melhoria do fluxo de atendimentos, contribuindo para a redução da sobrecarga nas unidades de pronto atendimento e para o fortalecimento da atenção primária.</w:t>
      </w:r>
    </w:p>
    <w:p w14:paraId="3761786F">
      <w:pPr>
        <w:pStyle w:val="70"/>
        <w:spacing w:line="360" w:lineRule="auto"/>
        <w:ind w:firstLine="720"/>
        <w:jc w:val="both"/>
        <w:rPr>
          <w:rFonts w:ascii="Times New Roman" w:hAnsi="Times New Roman" w:cs="Times New Roman"/>
          <w:lang w:val="pt-BR"/>
        </w:rPr>
      </w:pPr>
      <w:r>
        <w:rPr>
          <w:rFonts w:ascii="Times New Roman" w:hAnsi="Times New Roman" w:cs="Times New Roman"/>
          <w:lang w:val="pt-BR"/>
        </w:rPr>
        <w:t>A definição do escopo, a existência de projetos técnicos e levantamentos atualizados, bem como a adoção da empreitada por preço unitário como regime de execução, asseguram maior previsibilidade, controle e eficiência à contratação, especialmente considerando as particularidades inerentes a obras remanescentes, garantindo o cumprimento dos prazos e a qualidade dos serviços a serem executados.</w:t>
      </w:r>
    </w:p>
    <w:p w14:paraId="37617870">
      <w:pPr>
        <w:pStyle w:val="70"/>
        <w:spacing w:line="360" w:lineRule="auto"/>
        <w:ind w:firstLine="720"/>
        <w:jc w:val="both"/>
        <w:rPr>
          <w:rFonts w:ascii="Times New Roman" w:hAnsi="Times New Roman" w:cs="Times New Roman"/>
          <w:b/>
          <w:bCs/>
        </w:rPr>
      </w:pPr>
      <w:r>
        <w:rPr>
          <w:rFonts w:ascii="Times New Roman" w:hAnsi="Times New Roman" w:cs="Times New Roman"/>
          <w:lang w:val="pt-BR"/>
        </w:rPr>
        <w:t xml:space="preserve">O valor estimado da obra é de R$ </w:t>
      </w:r>
      <w:r>
        <w:rPr>
          <w:rFonts w:ascii="Times New Roman" w:hAnsi="Times New Roman" w:cs="Times New Roman"/>
          <w:b/>
          <w:bCs/>
        </w:rPr>
        <w:t>804.901,35</w:t>
      </w:r>
      <w:r>
        <w:rPr>
          <w:rFonts w:ascii="Times New Roman" w:hAnsi="Times New Roman" w:cs="Times New Roman"/>
          <w:lang w:val="pt-BR"/>
        </w:rPr>
        <w:t>, devendo estar compatível com a disponibilidade orçamentária e com os recursos financeiros assegurados para sua execução. Ressalta-se que a estimativa foi elaborada com base em referências oficiais e critérios técnicos, garantindo aderência aos princípios da economicidade e eficiência.</w:t>
      </w:r>
    </w:p>
    <w:p w14:paraId="37617871">
      <w:pPr>
        <w:pStyle w:val="70"/>
        <w:spacing w:line="360" w:lineRule="auto"/>
        <w:ind w:firstLine="720"/>
        <w:jc w:val="both"/>
        <w:rPr>
          <w:rFonts w:ascii="Times New Roman" w:hAnsi="Times New Roman" w:cs="Times New Roman"/>
          <w:lang w:val="pt-BR"/>
        </w:rPr>
      </w:pPr>
      <w:r>
        <w:rPr>
          <w:rFonts w:ascii="Times New Roman" w:hAnsi="Times New Roman" w:cs="Times New Roman"/>
          <w:lang w:val="pt-BR"/>
        </w:rPr>
        <w:t>Diante do exposto, recomenda-se a continuidade do processo administrativo com vistas à formalização da contratação, por meio de licitação na modalidade Concorrência, conforme disposto no art. 28, inciso II, da Lei nº 14.133/2021, assegurando ampla competitividade, isonomia entre os licitantes e a seleção da proposta mais vantajosa para a Administração Pública.</w:t>
      </w:r>
    </w:p>
    <w:p w14:paraId="37617872">
      <w:pPr>
        <w:pStyle w:val="70"/>
        <w:spacing w:line="360" w:lineRule="auto"/>
        <w:jc w:val="both"/>
        <w:rPr>
          <w:rFonts w:ascii="Times New Roman" w:hAnsi="Times New Roman" w:cs="Times New Roman"/>
          <w:lang w:val="pt-BR"/>
        </w:rPr>
      </w:pPr>
    </w:p>
    <w:p w14:paraId="37617873">
      <w:pPr>
        <w:pStyle w:val="70"/>
        <w:spacing w:line="360" w:lineRule="auto"/>
        <w:jc w:val="both"/>
        <w:rPr>
          <w:rFonts w:ascii="Times New Roman" w:hAnsi="Times New Roman" w:cs="Times New Roman"/>
          <w:lang w:val="pt-BR"/>
        </w:rPr>
      </w:pPr>
    </w:p>
    <w:p w14:paraId="37617874">
      <w:pPr>
        <w:pStyle w:val="70"/>
        <w:spacing w:line="360" w:lineRule="auto"/>
        <w:jc w:val="both"/>
        <w:rPr>
          <w:rFonts w:ascii="Times New Roman" w:hAnsi="Times New Roman" w:cs="Times New Roman"/>
          <w:lang w:val="pt-BR"/>
        </w:rPr>
      </w:pPr>
    </w:p>
    <w:p w14:paraId="37617875">
      <w:pPr>
        <w:pStyle w:val="70"/>
        <w:spacing w:line="360" w:lineRule="auto"/>
        <w:jc w:val="both"/>
        <w:rPr>
          <w:rFonts w:ascii="Times New Roman" w:hAnsi="Times New Roman" w:cs="Times New Roman"/>
          <w:lang w:val="pt-BR"/>
        </w:rPr>
      </w:pPr>
    </w:p>
    <w:p w14:paraId="37617876">
      <w:pPr>
        <w:pStyle w:val="70"/>
        <w:spacing w:line="360" w:lineRule="auto"/>
        <w:jc w:val="both"/>
        <w:rPr>
          <w:rFonts w:ascii="Times New Roman" w:hAnsi="Times New Roman" w:cs="Times New Roman"/>
          <w:lang w:val="pt-BR"/>
        </w:rPr>
      </w:pPr>
    </w:p>
    <w:p w14:paraId="37617877">
      <w:pPr>
        <w:pStyle w:val="70"/>
        <w:spacing w:line="360" w:lineRule="auto"/>
        <w:jc w:val="both"/>
        <w:rPr>
          <w:rFonts w:ascii="Times New Roman" w:hAnsi="Times New Roman" w:cs="Times New Roman"/>
          <w:lang w:val="pt-BR"/>
        </w:rPr>
      </w:pPr>
    </w:p>
    <w:p w14:paraId="37617878">
      <w:pPr>
        <w:pStyle w:val="70"/>
        <w:spacing w:line="360" w:lineRule="auto"/>
        <w:jc w:val="right"/>
        <w:rPr>
          <w:rFonts w:ascii="Times New Roman" w:hAnsi="Times New Roman" w:cs="Times New Roman"/>
          <w:lang w:val="pt-BR"/>
        </w:rPr>
      </w:pPr>
      <w:r>
        <w:rPr>
          <w:rFonts w:ascii="Times New Roman" w:hAnsi="Times New Roman" w:cs="Times New Roman"/>
          <w:lang w:val="pt-BR"/>
        </w:rPr>
        <w:t>Rondonópolis, 15 de MARÇO de 2026.</w:t>
      </w:r>
    </w:p>
    <w:p w14:paraId="37617879">
      <w:pPr>
        <w:pStyle w:val="70"/>
        <w:spacing w:line="360" w:lineRule="auto"/>
        <w:jc w:val="right"/>
        <w:rPr>
          <w:rFonts w:ascii="Times New Roman" w:hAnsi="Times New Roman" w:cs="Times New Roman"/>
          <w:lang w:val="pt-BR"/>
        </w:rPr>
      </w:pPr>
    </w:p>
    <w:p w14:paraId="3761787A">
      <w:pPr>
        <w:pStyle w:val="70"/>
        <w:spacing w:line="360" w:lineRule="auto"/>
        <w:jc w:val="right"/>
        <w:rPr>
          <w:rFonts w:ascii="Times New Roman" w:hAnsi="Times New Roman" w:cs="Times New Roman"/>
          <w:lang w:val="pt-BR"/>
        </w:rPr>
      </w:pPr>
    </w:p>
    <w:p w14:paraId="3761787B">
      <w:pPr>
        <w:pStyle w:val="70"/>
        <w:spacing w:line="360" w:lineRule="auto"/>
        <w:jc w:val="right"/>
        <w:rPr>
          <w:rFonts w:ascii="Times New Roman" w:hAnsi="Times New Roman" w:cs="Times New Roman"/>
          <w:lang w:val="pt-BR"/>
        </w:rPr>
      </w:pPr>
    </w:p>
    <w:p w14:paraId="3761787C">
      <w:pPr>
        <w:pStyle w:val="70"/>
        <w:spacing w:line="360" w:lineRule="auto"/>
        <w:jc w:val="right"/>
        <w:rPr>
          <w:rFonts w:ascii="Times New Roman" w:hAnsi="Times New Roman" w:cs="Times New Roman"/>
          <w:lang w:val="pt-BR"/>
        </w:rPr>
      </w:pPr>
    </w:p>
    <w:p w14:paraId="3761787D">
      <w:pPr>
        <w:pStyle w:val="70"/>
        <w:spacing w:line="360" w:lineRule="auto"/>
        <w:jc w:val="right"/>
        <w:rPr>
          <w:rFonts w:ascii="Times New Roman" w:hAnsi="Times New Roman" w:cs="Times New Roman"/>
          <w:lang w:val="pt-BR"/>
        </w:rPr>
      </w:pPr>
    </w:p>
    <w:p w14:paraId="3761787E">
      <w:pPr>
        <w:ind w:right="454"/>
        <w:jc w:val="center"/>
      </w:pPr>
      <w:r>
        <w:rPr>
          <w:rFonts w:ascii="Century Gothic" w:hAnsi="Century Gothic"/>
          <w:b/>
          <w:bCs/>
          <w:color w:val="000000"/>
          <w:lang w:eastAsia="zh-CN"/>
          <w14:shadow w14:blurRad="50800" w14:dist="38100" w14:dir="2700000" w14:sx="100000" w14:sy="100000" w14:kx="0" w14:ky="0" w14:algn="tl">
            <w14:srgbClr w14:val="000000">
              <w14:alpha w14:val="60000"/>
            </w14:srgbClr>
          </w14:shadow>
        </w:rPr>
        <w:t>Débora Betânia de Carvalho Santos</w:t>
      </w:r>
    </w:p>
    <w:p w14:paraId="3761787F">
      <w:pPr>
        <w:ind w:right="454"/>
        <w:jc w:val="center"/>
      </w:pPr>
      <w:r>
        <w:rPr>
          <w:rFonts w:ascii="Century Gothic" w:hAnsi="Century Gothic"/>
          <w:i/>
        </w:rPr>
        <w:t>Gerente de Departamento de Engenharia e Arquitetura - Saúde</w:t>
      </w:r>
    </w:p>
    <w:p w14:paraId="37617880">
      <w:pPr>
        <w:pStyle w:val="80"/>
        <w:jc w:val="center"/>
        <w:rPr>
          <w:rFonts w:ascii="Century Gothic" w:hAnsi="Century Gothic" w:eastAsiaTheme="minorHAnsi" w:cstheme="minorBidi"/>
          <w:b/>
          <w:bCs/>
          <w:color w:val="000000"/>
          <w:kern w:val="0"/>
          <w:sz w:val="20"/>
          <w:szCs w:val="20"/>
          <w:lang w:val="pt-BR" w:eastAsia="en-US" w:bidi="ar-SA"/>
        </w:rPr>
      </w:pPr>
      <w:r>
        <w:rPr>
          <w:rFonts w:ascii="Century Gothic" w:hAnsi="Century Gothic" w:eastAsiaTheme="minorHAnsi" w:cstheme="minorBidi"/>
          <w:b/>
          <w:bCs/>
          <w:color w:val="000000"/>
          <w:kern w:val="0"/>
          <w:sz w:val="20"/>
          <w:szCs w:val="20"/>
          <w:lang w:val="pt-BR" w:eastAsia="en-US" w:bidi="ar-SA"/>
        </w:rPr>
        <w:t>Portaria nº 38.086/2025</w:t>
      </w:r>
    </w:p>
    <w:p w14:paraId="37617881">
      <w:pPr>
        <w:pStyle w:val="70"/>
        <w:spacing w:line="360" w:lineRule="auto"/>
        <w:jc w:val="center"/>
        <w:rPr>
          <w:rFonts w:ascii="Times New Roman" w:hAnsi="Times New Roman" w:cs="Times New Roman"/>
          <w:lang w:val="pt-BR"/>
        </w:rPr>
      </w:pPr>
    </w:p>
    <w:p w14:paraId="37617882">
      <w:pPr>
        <w:pStyle w:val="70"/>
        <w:spacing w:line="360" w:lineRule="auto"/>
        <w:jc w:val="center"/>
        <w:rPr>
          <w:rFonts w:ascii="Times New Roman" w:hAnsi="Times New Roman" w:cs="Times New Roman"/>
          <w:lang w:val="pt-BR"/>
        </w:rPr>
      </w:pPr>
    </w:p>
    <w:p w14:paraId="37617883">
      <w:pPr>
        <w:pStyle w:val="70"/>
        <w:spacing w:line="360" w:lineRule="auto"/>
        <w:jc w:val="center"/>
        <w:rPr>
          <w:rFonts w:ascii="Times New Roman" w:hAnsi="Times New Roman" w:cs="Times New Roman"/>
          <w:lang w:val="pt-BR"/>
        </w:rPr>
      </w:pPr>
    </w:p>
    <w:p w14:paraId="37617884">
      <w:pPr>
        <w:pStyle w:val="70"/>
        <w:spacing w:line="360" w:lineRule="auto"/>
        <w:jc w:val="center"/>
        <w:rPr>
          <w:rFonts w:ascii="Times New Roman" w:hAnsi="Times New Roman" w:cs="Times New Roman"/>
          <w:lang w:val="pt-BR"/>
        </w:rPr>
      </w:pPr>
    </w:p>
    <w:p w14:paraId="37617885">
      <w:pPr>
        <w:pStyle w:val="70"/>
        <w:spacing w:line="360" w:lineRule="auto"/>
        <w:jc w:val="center"/>
        <w:rPr>
          <w:rFonts w:ascii="Times New Roman" w:hAnsi="Times New Roman" w:cs="Times New Roman"/>
          <w:lang w:val="pt-BR"/>
        </w:rPr>
      </w:pPr>
    </w:p>
    <w:p w14:paraId="37617886">
      <w:pPr>
        <w:pStyle w:val="70"/>
        <w:spacing w:line="360" w:lineRule="auto"/>
        <w:rPr>
          <w:rFonts w:ascii="Times New Roman" w:hAnsi="Times New Roman" w:cs="Times New Roman"/>
          <w:lang w:val="pt-BR"/>
        </w:rPr>
      </w:pPr>
    </w:p>
    <w:p w14:paraId="37617887">
      <w:pPr>
        <w:pStyle w:val="70"/>
        <w:spacing w:line="360" w:lineRule="auto"/>
        <w:rPr>
          <w:rFonts w:ascii="Times New Roman" w:hAnsi="Times New Roman" w:cs="Times New Roman"/>
          <w:lang w:val="pt-BR"/>
        </w:rPr>
      </w:pPr>
    </w:p>
    <w:sectPr>
      <w:headerReference r:id="rId5" w:type="first"/>
      <w:footerReference r:id="rId8" w:type="first"/>
      <w:headerReference r:id="rId3" w:type="default"/>
      <w:footerReference r:id="rId6" w:type="default"/>
      <w:headerReference r:id="rId4" w:type="even"/>
      <w:footerReference r:id="rId7" w:type="even"/>
      <w:pgSz w:w="11906" w:h="16838"/>
      <w:pgMar w:top="2609" w:right="765" w:bottom="720" w:left="765" w:header="2268" w:footer="510" w:gutter="0"/>
      <w:pgNumType w:start="1"/>
      <w:cols w:space="720" w:num="1"/>
      <w:formProt w:val="0"/>
      <w:docGrid w:linePitch="299" w:charSpace="409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font>
  <w:font w:name="Arial">
    <w:panose1 w:val="020B0604020202020204"/>
    <w:charset w:val="86"/>
    <w:family w:val="swiss"/>
    <w:pitch w:val="default"/>
    <w:sig w:usb0="E0002EFF" w:usb1="C000785B" w:usb2="00000009" w:usb3="00000000" w:csb0="400001FF" w:csb1="FFFF0000"/>
  </w:font>
  <w:font w:name="Courier New">
    <w:panose1 w:val="02070309020205020404"/>
    <w:charset w:val="00"/>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SimHei">
    <w:altName w:val="SimSun"/>
    <w:panose1 w:val="02010609060101010101"/>
    <w:charset w:val="86"/>
    <w:family w:val="modern"/>
    <w:pitch w:val="default"/>
    <w:sig w:usb0="800002BF" w:usb1="38CF7CFA" w:usb2="00000016" w:usb3="00000000" w:csb0="00040001" w:csb1="00000000"/>
  </w:font>
  <w:font w:name="Calibri">
    <w:panose1 w:val="020F0502020204030204"/>
    <w:charset w:val="00"/>
    <w:family w:val="swiss"/>
    <w:pitch w:val="default"/>
    <w:sig w:usb0="E4002EFF" w:usb1="C000247B" w:usb2="00000009" w:usb3="00000000" w:csb0="200001FF" w:csb1="00000000"/>
  </w:font>
  <w:font w:name="Calibri Light">
    <w:panose1 w:val="020F0302020204030204"/>
    <w:charset w:val="00"/>
    <w:family w:val="swiss"/>
    <w:pitch w:val="default"/>
    <w:sig w:usb0="E4002EFF" w:usb1="C000247B" w:usb2="00000009" w:usb3="00000000" w:csb0="200001FF" w:csb1="00000000"/>
  </w:font>
  <w:font w:name="黑体">
    <w:altName w:val="SimSun"/>
    <w:panose1 w:val="00000000000000000000"/>
    <w:charset w:val="00"/>
    <w:family w:val="auto"/>
    <w:pitch w:val="default"/>
    <w:sig w:usb0="00000000" w:usb1="00000000" w:usb2="00000000" w:usb3="00000000" w:csb0="00000000" w:csb1="00000000"/>
  </w:font>
  <w:font w:name="Tahoma">
    <w:panose1 w:val="020B0604030504040204"/>
    <w:charset w:val="00"/>
    <w:family w:val="swiss"/>
    <w:pitch w:val="default"/>
    <w:sig w:usb0="E1002EFF" w:usb1="C000605B" w:usb2="00000029" w:usb3="00000000" w:csb0="200101FF" w:csb1="20280000"/>
  </w:font>
  <w:font w:name="Ecofont_Spranq_eco_Sans">
    <w:altName w:val="AMGDT"/>
    <w:panose1 w:val="00000000000000000000"/>
    <w:charset w:val="00"/>
    <w:family w:val="swiss"/>
    <w:pitch w:val="default"/>
    <w:sig w:usb0="00000000" w:usb1="00000000" w:usb2="00000000" w:usb3="00000000" w:csb0="00000001" w:csb1="00000000"/>
  </w:font>
  <w:font w:name="Liberation Serif">
    <w:panose1 w:val="02020603050405020304"/>
    <w:charset w:val="00"/>
    <w:family w:val="roman"/>
    <w:pitch w:val="default"/>
    <w:sig w:usb0="E0000AFF" w:usb1="500078FF" w:usb2="00000021" w:usb3="00000000" w:csb0="600001BF" w:csb1="DFF70000"/>
  </w:font>
  <w:font w:name="SimSun;宋体">
    <w:altName w:val="SimSun"/>
    <w:panose1 w:val="00000000000000000000"/>
    <w:charset w:val="80"/>
    <w:family w:val="roman"/>
    <w:pitch w:val="default"/>
    <w:sig w:usb0="00000000" w:usb1="00000000" w:usb2="00000000" w:usb3="00000000" w:csb0="00000000" w:csb1="00000000"/>
  </w:font>
  <w:font w:name="Mangal">
    <w:altName w:val="AMGDT"/>
    <w:panose1 w:val="00000400000000000000"/>
    <w:charset w:val="00"/>
    <w:family w:val="roman"/>
    <w:pitch w:val="default"/>
    <w:sig w:usb0="00000000" w:usb1="00000000" w:usb2="00000000" w:usb3="00000000" w:csb0="00000001" w:csb1="00000000"/>
  </w:font>
  <w:font w:name="Wingdings">
    <w:panose1 w:val="05000000000000000000"/>
    <w:charset w:val="02"/>
    <w:family w:val="auto"/>
    <w:pitch w:val="default"/>
    <w:sig w:usb0="00000000" w:usb1="00000000" w:usb2="00000000" w:usb3="00000000" w:csb0="80000000" w:csb1="00000000"/>
  </w:font>
  <w:font w:name="Century Gothic">
    <w:panose1 w:val="020B0502020202020204"/>
    <w:charset w:val="00"/>
    <w:family w:val="swiss"/>
    <w:pitch w:val="default"/>
    <w:sig w:usb0="00000287" w:usb1="00000000" w:usb2="00000000" w:usb3="00000000" w:csb0="2000009F" w:csb1="DFD70000"/>
  </w:font>
  <w:font w:name="AMGDT">
    <w:panose1 w:val="02000400000000000000"/>
    <w:charset w:val="00"/>
    <w:family w:val="auto"/>
    <w:pitch w:val="default"/>
    <w:sig w:usb0="80000003" w:usb1="1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61788F">
    <w:pPr>
      <w:spacing w:line="276" w:lineRule="auto"/>
      <w:rPr>
        <w:color w:val="000000"/>
      </w:rPr>
    </w:pPr>
  </w:p>
  <w:tbl>
    <w:tblPr>
      <w:tblStyle w:val="12"/>
      <w:tblW w:w="10456" w:type="dxa"/>
      <w:tblInd w:w="-108" w:type="dxa"/>
      <w:tblLayout w:type="fixed"/>
      <w:tblCellMar>
        <w:top w:w="0" w:type="dxa"/>
        <w:left w:w="108" w:type="dxa"/>
        <w:bottom w:w="0" w:type="dxa"/>
        <w:right w:w="108" w:type="dxa"/>
      </w:tblCellMar>
    </w:tblPr>
    <w:tblGrid>
      <w:gridCol w:w="3313"/>
      <w:gridCol w:w="1468"/>
      <w:gridCol w:w="5675"/>
    </w:tblGrid>
    <w:tr w14:paraId="37617894">
      <w:tblPrEx>
        <w:tblCellMar>
          <w:top w:w="0" w:type="dxa"/>
          <w:left w:w="108" w:type="dxa"/>
          <w:bottom w:w="0" w:type="dxa"/>
          <w:right w:w="108" w:type="dxa"/>
        </w:tblCellMar>
      </w:tblPrEx>
      <w:tc>
        <w:tcPr>
          <w:tcW w:w="3313" w:type="dxa"/>
          <w:tcBorders>
            <w:top w:val="single" w:color="FFFFFF" w:sz="24" w:space="0"/>
            <w:left w:val="single" w:color="FFFFFF" w:sz="4" w:space="0"/>
            <w:bottom w:val="single" w:color="FFFFFF" w:sz="4" w:space="0"/>
            <w:right w:val="single" w:color="FFFFFF" w:sz="4" w:space="0"/>
          </w:tcBorders>
        </w:tcPr>
        <w:p w14:paraId="37617890">
          <w:pPr>
            <w:tabs>
              <w:tab w:val="center" w:pos="4252"/>
              <w:tab w:val="right" w:pos="8504"/>
            </w:tabs>
            <w:rPr>
              <w:color w:val="000000"/>
            </w:rPr>
          </w:pPr>
          <w:r>
            <w:drawing>
              <wp:inline distT="0" distB="0" distL="0" distR="0">
                <wp:extent cx="1967865" cy="473710"/>
                <wp:effectExtent l="0" t="0" r="0" b="0"/>
                <wp:docPr id="16" name="imag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jpg"/>
                        <pic:cNvPicPr>
                          <a:picLocks noChangeAspect="1" noChangeArrowheads="1"/>
                        </pic:cNvPicPr>
                      </pic:nvPicPr>
                      <pic:blipFill>
                        <a:blip r:embed="rId1"/>
                        <a:stretch>
                          <a:fillRect/>
                        </a:stretch>
                      </pic:blipFill>
                      <pic:spPr>
                        <a:xfrm>
                          <a:off x="0" y="0"/>
                          <a:ext cx="1967865" cy="473710"/>
                        </a:xfrm>
                        <a:prstGeom prst="rect">
                          <a:avLst/>
                        </a:prstGeom>
                      </pic:spPr>
                    </pic:pic>
                  </a:graphicData>
                </a:graphic>
              </wp:inline>
            </w:drawing>
          </w:r>
        </w:p>
      </w:tc>
      <w:tc>
        <w:tcPr>
          <w:tcW w:w="1468" w:type="dxa"/>
          <w:tcBorders>
            <w:top w:val="single" w:color="FFFFFF" w:sz="24" w:space="0"/>
            <w:left w:val="single" w:color="FFFFFF" w:sz="4" w:space="0"/>
            <w:bottom w:val="single" w:color="FFFFFF" w:sz="4" w:space="0"/>
            <w:right w:val="single" w:color="FFFFFF" w:sz="4" w:space="0"/>
          </w:tcBorders>
        </w:tcPr>
        <w:p w14:paraId="37617891">
          <w:pPr>
            <w:tabs>
              <w:tab w:val="center" w:pos="4252"/>
              <w:tab w:val="right" w:pos="8504"/>
            </w:tabs>
            <w:jc w:val="right"/>
            <w:rPr>
              <w:b/>
              <w:color w:val="000000"/>
            </w:rPr>
          </w:pPr>
        </w:p>
      </w:tc>
      <w:tc>
        <w:tcPr>
          <w:tcW w:w="5675" w:type="dxa"/>
          <w:tcBorders>
            <w:top w:val="single" w:color="000000" w:sz="4" w:space="0"/>
            <w:left w:val="single" w:color="FFFFFF" w:sz="4" w:space="0"/>
            <w:bottom w:val="single" w:color="FFFFFF" w:sz="4" w:space="0"/>
            <w:right w:val="single" w:color="FFFFFF" w:sz="4" w:space="0"/>
          </w:tcBorders>
        </w:tcPr>
        <w:p w14:paraId="37617892">
          <w:pPr>
            <w:tabs>
              <w:tab w:val="center" w:pos="4252"/>
              <w:tab w:val="right" w:pos="8504"/>
            </w:tabs>
            <w:spacing w:line="360" w:lineRule="auto"/>
            <w:ind w:left="-451"/>
            <w:jc w:val="right"/>
            <w:rPr>
              <w:rFonts w:ascii="Times New Roman" w:hAnsi="Times New Roman" w:cs="Times New Roman"/>
              <w:b/>
              <w:color w:val="000000"/>
            </w:rPr>
          </w:pPr>
          <w:r>
            <w:rPr>
              <w:rFonts w:ascii="Times New Roman" w:hAnsi="Times New Roman" w:cs="Times New Roman"/>
              <w:b/>
              <w:color w:val="000000"/>
            </w:rPr>
            <w:t>Secretária de Municipal de Saúde -  Rondonópolis – MT</w:t>
          </w:r>
        </w:p>
        <w:p w14:paraId="37617893">
          <w:pPr>
            <w:tabs>
              <w:tab w:val="center" w:pos="4252"/>
              <w:tab w:val="right" w:pos="8504"/>
            </w:tabs>
            <w:spacing w:line="360" w:lineRule="auto"/>
            <w:jc w:val="right"/>
            <w:rPr>
              <w:rFonts w:ascii="Times New Roman" w:hAnsi="Times New Roman" w:cs="Times New Roman"/>
              <w:color w:val="000000"/>
            </w:rPr>
          </w:pPr>
          <w:r>
            <w:rPr>
              <w:rFonts w:ascii="Times New Roman" w:hAnsi="Times New Roman" w:cs="Times New Roman"/>
              <w:color w:val="000000"/>
              <w:sz w:val="18"/>
              <w:szCs w:val="18"/>
            </w:rPr>
            <w:t>Avenida Duque de Caxias, 1000, Vila Aurora, CEP 78740-022.</w:t>
          </w:r>
        </w:p>
      </w:tc>
    </w:tr>
  </w:tbl>
  <w:p w14:paraId="37617895">
    <w:pPr>
      <w:tabs>
        <w:tab w:val="center" w:pos="4252"/>
        <w:tab w:val="right" w:pos="8504"/>
      </w:tabs>
      <w:rPr>
        <w:color w:val="00000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61788E">
    <w:pPr>
      <w:tabs>
        <w:tab w:val="center" w:pos="4252"/>
        <w:tab w:val="right" w:pos="8504"/>
      </w:tabs>
      <w:rPr>
        <w:color w:val="000000"/>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617897">
    <w:pPr>
      <w:spacing w:line="276" w:lineRule="auto"/>
      <w:rPr>
        <w:color w:val="000000"/>
      </w:rPr>
    </w:pPr>
    <w:r>
      <w:rPr>
        <w:color w:val="000000"/>
      </w:rPr>
      <mc:AlternateContent>
        <mc:Choice Requires="wps">
          <w:drawing>
            <wp:anchor distT="0" distB="7620" distL="0" distR="0" simplePos="0" relativeHeight="251663360" behindDoc="1" locked="0" layoutInCell="0" allowOverlap="1">
              <wp:simplePos x="0" y="0"/>
              <wp:positionH relativeFrom="page">
                <wp:posOffset>7143750</wp:posOffset>
              </wp:positionH>
              <wp:positionV relativeFrom="margin">
                <wp:posOffset>5838825</wp:posOffset>
              </wp:positionV>
              <wp:extent cx="419100" cy="1840230"/>
              <wp:effectExtent l="0" t="0" r="0" b="7620"/>
              <wp:wrapNone/>
              <wp:docPr id="17" name="Retângulo 5"/>
              <wp:cNvGraphicFramePr/>
              <a:graphic xmlns:a="http://schemas.openxmlformats.org/drawingml/2006/main">
                <a:graphicData uri="http://schemas.microsoft.com/office/word/2010/wordprocessingShape">
                  <wps:wsp>
                    <wps:cNvSpPr/>
                    <wps:spPr>
                      <a:xfrm>
                        <a:off x="0" y="0"/>
                        <a:ext cx="419040" cy="1840320"/>
                      </a:xfrm>
                      <a:prstGeom prst="rect">
                        <a:avLst/>
                      </a:prstGeom>
                      <a:noFill/>
                      <a:ln w="0">
                        <a:noFill/>
                      </a:ln>
                    </wps:spPr>
                    <wps:style>
                      <a:lnRef idx="0">
                        <a:scrgbClr r="0" g="0" b="0"/>
                      </a:lnRef>
                      <a:fillRef idx="0">
                        <a:scrgbClr r="0" g="0" b="0"/>
                      </a:fillRef>
                      <a:effectRef idx="0">
                        <a:scrgbClr r="0" g="0" b="0"/>
                      </a:effectRef>
                      <a:fontRef idx="minor"/>
                    </wps:style>
                    <wps:txbx>
                      <w:txbxContent>
                        <w:p w14:paraId="376178B2">
                          <w:pPr>
                            <w:pStyle w:val="70"/>
                            <w:rPr>
                              <w:rFonts w:asciiTheme="majorHAnsi" w:hAnsiTheme="majorHAnsi" w:eastAsiaTheme="majorEastAsia" w:cstheme="majorBidi"/>
                              <w:sz w:val="20"/>
                              <w:szCs w:val="44"/>
                              <w:lang w:val="pt-BR"/>
                            </w:rPr>
                          </w:pPr>
                          <w:r>
                            <w:rPr>
                              <w:rFonts w:asciiTheme="majorHAnsi" w:hAnsiTheme="majorHAnsi" w:eastAsiaTheme="majorEastAsia" w:cstheme="majorBidi"/>
                              <w:lang w:val="pt-BR"/>
                            </w:rPr>
                            <w:t>P</w:t>
                          </w:r>
                          <w:r>
                            <w:rPr>
                              <w:rFonts w:asciiTheme="majorHAnsi" w:hAnsiTheme="majorHAnsi" w:eastAsiaTheme="majorEastAsia" w:cstheme="majorBidi"/>
                              <w:sz w:val="20"/>
                              <w:lang w:val="pt-BR"/>
                            </w:rPr>
                            <w:t>ágina</w:t>
                          </w:r>
                          <w:r>
                            <w:rPr>
                              <w:rFonts w:cs="Times New Roman" w:asciiTheme="minorHAnsi" w:hAnsiTheme="minorHAnsi" w:eastAsiaTheme="minorEastAsia"/>
                              <w:sz w:val="20"/>
                              <w:lang w:val="pt-BR"/>
                            </w:rPr>
                            <w:fldChar w:fldCharType="begin"/>
                          </w:r>
                          <w:r>
                            <w:rPr>
                              <w:rFonts w:ascii="Calibri" w:hAnsi="Calibri" w:cs="Times New Roman"/>
                              <w:sz w:val="20"/>
                              <w:lang w:val="pt-BR"/>
                            </w:rPr>
                            <w:instrText xml:space="preserve"> PAGE </w:instrText>
                          </w:r>
                          <w:r>
                            <w:rPr>
                              <w:rFonts w:ascii="Calibri" w:hAnsi="Calibri" w:cs="Times New Roman"/>
                              <w:sz w:val="20"/>
                              <w:lang w:val="pt-BR"/>
                            </w:rPr>
                            <w:fldChar w:fldCharType="separate"/>
                          </w:r>
                          <w:r>
                            <w:rPr>
                              <w:rFonts w:ascii="Calibri" w:hAnsi="Calibri" w:cs="Times New Roman"/>
                              <w:sz w:val="20"/>
                              <w:lang w:val="pt-BR"/>
                            </w:rPr>
                            <w:t>17</w:t>
                          </w:r>
                          <w:r>
                            <w:rPr>
                              <w:rFonts w:ascii="Calibri" w:hAnsi="Calibri" w:cs="Times New Roman"/>
                              <w:sz w:val="20"/>
                              <w:lang w:val="pt-BR"/>
                            </w:rPr>
                            <w:fldChar w:fldCharType="end"/>
                          </w:r>
                        </w:p>
                      </w:txbxContent>
                    </wps:txbx>
                    <wps:bodyPr vert="vert270" anchor="ctr" upright="1">
                      <a:noAutofit/>
                    </wps:bodyPr>
                  </wps:wsp>
                </a:graphicData>
              </a:graphic>
            </wp:anchor>
          </w:drawing>
        </mc:Choice>
        <mc:Fallback>
          <w:pict>
            <v:rect id="Retângulo 5" o:spid="_x0000_s1026" o:spt="1" style="position:absolute;left:0pt;margin-left:562.5pt;margin-top:459.75pt;height:144.9pt;width:33pt;mso-position-horizontal-relative:page;mso-position-vertical-relative:margin;z-index:-251653120;v-text-anchor:middle;mso-width-relative:page;mso-height-relative:page;" filled="f" stroked="f" coordsize="21600,21600" o:allowincell="f" o:gfxdata="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MkhnVtsAAAAOAQAADwAAAAAAAAABACAAAAAiAAAAZHJzL2Rvd25yZXYu&#10;eG1sUEsBAhQAFAAAAAgAh07iQNPBji+/AQAAggMAAA4AAAAAAAAAAQAgAAAAKgEAAGRycy9lMm9E&#10;b2MueG1sUEsFBgAAAAAGAAYAWQEAAFsFAAAAAA==&#10;">
              <v:fill on="f" focussize="0,0"/>
              <v:stroke on="f" weight="0pt"/>
              <v:imagedata o:title=""/>
              <o:lock v:ext="edit" aspectratio="f"/>
              <v:textbox style="layout-flow:vertical;mso-layout-flow-alt:bottom-to-top;">
                <w:txbxContent>
                  <w:p w14:paraId="376178B2">
                    <w:pPr>
                      <w:pStyle w:val="70"/>
                      <w:rPr>
                        <w:rFonts w:asciiTheme="majorHAnsi" w:hAnsiTheme="majorHAnsi" w:eastAsiaTheme="majorEastAsia" w:cstheme="majorBidi"/>
                        <w:sz w:val="20"/>
                        <w:szCs w:val="44"/>
                        <w:lang w:val="pt-BR"/>
                      </w:rPr>
                    </w:pPr>
                    <w:r>
                      <w:rPr>
                        <w:rFonts w:asciiTheme="majorHAnsi" w:hAnsiTheme="majorHAnsi" w:eastAsiaTheme="majorEastAsia" w:cstheme="majorBidi"/>
                        <w:lang w:val="pt-BR"/>
                      </w:rPr>
                      <w:t>P</w:t>
                    </w:r>
                    <w:r>
                      <w:rPr>
                        <w:rFonts w:asciiTheme="majorHAnsi" w:hAnsiTheme="majorHAnsi" w:eastAsiaTheme="majorEastAsia" w:cstheme="majorBidi"/>
                        <w:sz w:val="20"/>
                        <w:lang w:val="pt-BR"/>
                      </w:rPr>
                      <w:t>ágina</w:t>
                    </w:r>
                    <w:r>
                      <w:rPr>
                        <w:rFonts w:cs="Times New Roman" w:asciiTheme="minorHAnsi" w:hAnsiTheme="minorHAnsi" w:eastAsiaTheme="minorEastAsia"/>
                        <w:sz w:val="20"/>
                        <w:lang w:val="pt-BR"/>
                      </w:rPr>
                      <w:fldChar w:fldCharType="begin"/>
                    </w:r>
                    <w:r>
                      <w:rPr>
                        <w:rFonts w:ascii="Calibri" w:hAnsi="Calibri" w:cs="Times New Roman"/>
                        <w:sz w:val="20"/>
                        <w:lang w:val="pt-BR"/>
                      </w:rPr>
                      <w:instrText xml:space="preserve"> PAGE </w:instrText>
                    </w:r>
                    <w:r>
                      <w:rPr>
                        <w:rFonts w:ascii="Calibri" w:hAnsi="Calibri" w:cs="Times New Roman"/>
                        <w:sz w:val="20"/>
                        <w:lang w:val="pt-BR"/>
                      </w:rPr>
                      <w:fldChar w:fldCharType="separate"/>
                    </w:r>
                    <w:r>
                      <w:rPr>
                        <w:rFonts w:ascii="Calibri" w:hAnsi="Calibri" w:cs="Times New Roman"/>
                        <w:sz w:val="20"/>
                        <w:lang w:val="pt-BR"/>
                      </w:rPr>
                      <w:t>17</w:t>
                    </w:r>
                    <w:r>
                      <w:rPr>
                        <w:rFonts w:ascii="Calibri" w:hAnsi="Calibri" w:cs="Times New Roman"/>
                        <w:sz w:val="20"/>
                        <w:lang w:val="pt-BR"/>
                      </w:rPr>
                      <w:fldChar w:fldCharType="end"/>
                    </w:r>
                  </w:p>
                </w:txbxContent>
              </v:textbox>
            </v:rect>
          </w:pict>
        </mc:Fallback>
      </mc:AlternateContent>
    </w:r>
  </w:p>
  <w:tbl>
    <w:tblPr>
      <w:tblStyle w:val="12"/>
      <w:tblW w:w="10456" w:type="dxa"/>
      <w:tblInd w:w="-108" w:type="dxa"/>
      <w:tblLayout w:type="fixed"/>
      <w:tblCellMar>
        <w:top w:w="0" w:type="dxa"/>
        <w:left w:w="108" w:type="dxa"/>
        <w:bottom w:w="0" w:type="dxa"/>
        <w:right w:w="108" w:type="dxa"/>
      </w:tblCellMar>
    </w:tblPr>
    <w:tblGrid>
      <w:gridCol w:w="3313"/>
      <w:gridCol w:w="1811"/>
      <w:gridCol w:w="5332"/>
    </w:tblGrid>
    <w:tr w14:paraId="3761789C">
      <w:tblPrEx>
        <w:tblCellMar>
          <w:top w:w="0" w:type="dxa"/>
          <w:left w:w="108" w:type="dxa"/>
          <w:bottom w:w="0" w:type="dxa"/>
          <w:right w:w="108" w:type="dxa"/>
        </w:tblCellMar>
      </w:tblPrEx>
      <w:tc>
        <w:tcPr>
          <w:tcW w:w="3313" w:type="dxa"/>
          <w:tcBorders>
            <w:top w:val="single" w:color="FFFFFF" w:sz="24" w:space="0"/>
            <w:left w:val="single" w:color="FFFFFF" w:sz="4" w:space="0"/>
            <w:bottom w:val="single" w:color="FFFFFF" w:sz="4" w:space="0"/>
            <w:right w:val="single" w:color="FFFFFF" w:sz="4" w:space="0"/>
          </w:tcBorders>
        </w:tcPr>
        <w:p w14:paraId="37617898">
          <w:pPr>
            <w:tabs>
              <w:tab w:val="center" w:pos="4252"/>
              <w:tab w:val="right" w:pos="8504"/>
            </w:tabs>
            <w:rPr>
              <w:color w:val="000000"/>
            </w:rPr>
          </w:pPr>
          <w:r>
            <w:drawing>
              <wp:inline distT="0" distB="0" distL="0" distR="0">
                <wp:extent cx="1967865" cy="473710"/>
                <wp:effectExtent l="0" t="0" r="0" b="0"/>
                <wp:docPr id="19" name="imag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1.jpg"/>
                        <pic:cNvPicPr>
                          <a:picLocks noChangeAspect="1" noChangeArrowheads="1"/>
                        </pic:cNvPicPr>
                      </pic:nvPicPr>
                      <pic:blipFill>
                        <a:blip r:embed="rId1"/>
                        <a:stretch>
                          <a:fillRect/>
                        </a:stretch>
                      </pic:blipFill>
                      <pic:spPr>
                        <a:xfrm>
                          <a:off x="0" y="0"/>
                          <a:ext cx="1967865" cy="473710"/>
                        </a:xfrm>
                        <a:prstGeom prst="rect">
                          <a:avLst/>
                        </a:prstGeom>
                      </pic:spPr>
                    </pic:pic>
                  </a:graphicData>
                </a:graphic>
              </wp:inline>
            </w:drawing>
          </w:r>
        </w:p>
      </w:tc>
      <w:tc>
        <w:tcPr>
          <w:tcW w:w="1811" w:type="dxa"/>
          <w:tcBorders>
            <w:top w:val="single" w:color="FFFFFF" w:sz="24" w:space="0"/>
            <w:left w:val="single" w:color="FFFFFF" w:sz="4" w:space="0"/>
            <w:bottom w:val="single" w:color="FFFFFF" w:sz="4" w:space="0"/>
            <w:right w:val="single" w:color="FFFFFF" w:sz="4" w:space="0"/>
          </w:tcBorders>
        </w:tcPr>
        <w:p w14:paraId="37617899">
          <w:pPr>
            <w:tabs>
              <w:tab w:val="center" w:pos="4252"/>
              <w:tab w:val="right" w:pos="8504"/>
            </w:tabs>
            <w:jc w:val="right"/>
            <w:rPr>
              <w:b/>
              <w:color w:val="000000"/>
            </w:rPr>
          </w:pPr>
        </w:p>
      </w:tc>
      <w:tc>
        <w:tcPr>
          <w:tcW w:w="5332" w:type="dxa"/>
          <w:tcBorders>
            <w:top w:val="single" w:color="000000" w:sz="4" w:space="0"/>
            <w:left w:val="single" w:color="FFFFFF" w:sz="4" w:space="0"/>
            <w:bottom w:val="single" w:color="FFFFFF" w:sz="4" w:space="0"/>
            <w:right w:val="single" w:color="FFFFFF" w:sz="4" w:space="0"/>
          </w:tcBorders>
        </w:tcPr>
        <w:p w14:paraId="3761789A">
          <w:pPr>
            <w:tabs>
              <w:tab w:val="center" w:pos="4252"/>
              <w:tab w:val="right" w:pos="8504"/>
            </w:tabs>
            <w:jc w:val="right"/>
            <w:rPr>
              <w:b/>
              <w:color w:val="000000"/>
            </w:rPr>
          </w:pPr>
          <w:r>
            <w:rPr>
              <w:b/>
              <w:color w:val="000000"/>
            </w:rPr>
            <w:t>Prefeitura Municipal de Rondonópolis – MT</w:t>
          </w:r>
        </w:p>
        <w:p w14:paraId="3761789B">
          <w:pPr>
            <w:tabs>
              <w:tab w:val="center" w:pos="4252"/>
              <w:tab w:val="right" w:pos="8504"/>
            </w:tabs>
            <w:jc w:val="right"/>
            <w:rPr>
              <w:color w:val="000000"/>
            </w:rPr>
          </w:pPr>
          <w:r>
            <w:rPr>
              <w:color w:val="000000"/>
              <w:sz w:val="18"/>
              <w:szCs w:val="18"/>
            </w:rPr>
            <w:t>Avenida Duque de Caxias, 1000, Vila Aurora, CEP 78740-022.</w:t>
          </w:r>
        </w:p>
      </w:tc>
    </w:tr>
  </w:tbl>
  <w:p w14:paraId="3761789D">
    <w:pPr>
      <w:tabs>
        <w:tab w:val="center" w:pos="4252"/>
        <w:tab w:val="right" w:pos="8504"/>
      </w:tabs>
      <w:rPr>
        <w:color w:val="000000"/>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61788D">
    <w:pPr>
      <w:tabs>
        <w:tab w:val="center" w:pos="4252"/>
        <w:tab w:val="right" w:pos="8504"/>
      </w:tabs>
      <w:rPr>
        <w:color w:val="000000"/>
      </w:rPr>
    </w:pPr>
    <w:r>
      <w:rPr>
        <w:color w:val="000000"/>
      </w:rPr>
      <w:drawing>
        <wp:anchor distT="0" distB="0" distL="0" distR="0" simplePos="0" relativeHeight="251659264" behindDoc="1" locked="0" layoutInCell="0" allowOverlap="1">
          <wp:simplePos x="0" y="0"/>
          <wp:positionH relativeFrom="margin">
            <wp:align>right</wp:align>
          </wp:positionH>
          <wp:positionV relativeFrom="paragraph">
            <wp:posOffset>-1334770</wp:posOffset>
          </wp:positionV>
          <wp:extent cx="6705600" cy="1323975"/>
          <wp:effectExtent l="0" t="0" r="0" b="0"/>
          <wp:wrapNone/>
          <wp:docPr id="8"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3.png"/>
                  <pic:cNvPicPr>
                    <a:picLocks noChangeAspect="1" noChangeArrowheads="1"/>
                  </pic:cNvPicPr>
                </pic:nvPicPr>
                <pic:blipFill>
                  <a:blip r:embed="rId1"/>
                  <a:stretch>
                    <a:fillRect/>
                  </a:stretch>
                </pic:blipFill>
                <pic:spPr>
                  <a:xfrm>
                    <a:off x="0" y="0"/>
                    <a:ext cx="6705600" cy="1323975"/>
                  </a:xfrm>
                  <a:prstGeom prst="rect">
                    <a:avLst/>
                  </a:prstGeom>
                </pic:spPr>
              </pic:pic>
            </a:graphicData>
          </a:graphic>
        </wp:anchor>
      </w:drawing>
    </w:r>
    <w:r>
      <w:rPr>
        <w:color w:val="000000"/>
      </w:rPr>
      <mc:AlternateContent>
        <mc:Choice Requires="wps">
          <w:drawing>
            <wp:anchor distT="0" distB="0" distL="0" distR="9525" simplePos="0" relativeHeight="251661312" behindDoc="1" locked="0" layoutInCell="0" allowOverlap="1">
              <wp:simplePos x="0" y="0"/>
              <wp:positionH relativeFrom="column">
                <wp:posOffset>2841625</wp:posOffset>
              </wp:positionH>
              <wp:positionV relativeFrom="paragraph">
                <wp:posOffset>-1182370</wp:posOffset>
              </wp:positionV>
              <wp:extent cx="3590925" cy="1028700"/>
              <wp:effectExtent l="1270" t="635" r="0" b="635"/>
              <wp:wrapNone/>
              <wp:docPr id="9" name="Retângulo: Cantos Arredondados 10"/>
              <wp:cNvGraphicFramePr/>
              <a:graphic xmlns:a="http://schemas.openxmlformats.org/drawingml/2006/main">
                <a:graphicData uri="http://schemas.microsoft.com/office/word/2010/wordprocessingShape">
                  <wps:wsp>
                    <wps:cNvSpPr/>
                    <wps:spPr>
                      <a:xfrm>
                        <a:off x="0" y="0"/>
                        <a:ext cx="3591000" cy="1028880"/>
                      </a:xfrm>
                      <a:prstGeom prst="roundRect">
                        <a:avLst>
                          <a:gd name="adj" fmla="val 16667"/>
                        </a:avLst>
                      </a:prstGeom>
                      <a:solidFill>
                        <a:srgbClr val="FFFFFF"/>
                      </a:solidFill>
                      <a:ln w="0">
                        <a:noFill/>
                      </a:ln>
                    </wps:spPr>
                    <wps:style>
                      <a:lnRef idx="0">
                        <a:scrgbClr r="0" g="0" b="0"/>
                      </a:lnRef>
                      <a:fillRef idx="0">
                        <a:scrgbClr r="0" g="0" b="0"/>
                      </a:fillRef>
                      <a:effectRef idx="0">
                        <a:scrgbClr r="0" g="0" b="0"/>
                      </a:effectRef>
                      <a:fontRef idx="minor"/>
                    </wps:style>
                    <wps:txbx>
                      <w:txbxContent>
                        <w:p w14:paraId="376178B3">
                          <w:pPr>
                            <w:pStyle w:val="66"/>
                            <w:spacing w:line="276" w:lineRule="auto"/>
                            <w:jc w:val="center"/>
                            <w:rPr>
                              <w:rFonts w:ascii="Times New Roman" w:hAnsi="Times New Roman" w:cs="Times New Roman"/>
                              <w:b/>
                              <w:color w:val="000000"/>
                              <w:sz w:val="20"/>
                              <w:szCs w:val="20"/>
                            </w:rPr>
                          </w:pPr>
                          <w:r>
                            <w:rPr>
                              <w:rFonts w:ascii="Times New Roman" w:hAnsi="Times New Roman" w:cs="Times New Roman"/>
                              <w:b/>
                              <w:color w:val="000000"/>
                              <w:sz w:val="20"/>
                              <w:szCs w:val="20"/>
                            </w:rPr>
                            <w:t xml:space="preserve">SECRETARIA MUNICIPAL DE SAÚDE </w:t>
                          </w:r>
                        </w:p>
                        <w:p w14:paraId="376178B4">
                          <w:pPr>
                            <w:pStyle w:val="66"/>
                            <w:spacing w:line="276" w:lineRule="auto"/>
                            <w:jc w:val="center"/>
                            <w:rPr>
                              <w:rFonts w:ascii="Times New Roman" w:hAnsi="Times New Roman" w:cs="Times New Roman"/>
                              <w:b/>
                              <w:color w:val="000000"/>
                              <w:sz w:val="20"/>
                              <w:szCs w:val="20"/>
                            </w:rPr>
                          </w:pPr>
                          <w:r>
                            <w:rPr>
                              <w:rFonts w:ascii="Times New Roman" w:hAnsi="Times New Roman" w:cs="Times New Roman"/>
                              <w:b/>
                              <w:color w:val="000000"/>
                              <w:sz w:val="20"/>
                              <w:szCs w:val="20"/>
                            </w:rPr>
                            <w:t>ETP –</w:t>
                          </w:r>
                        </w:p>
                        <w:p w14:paraId="376178B5">
                          <w:pPr>
                            <w:pStyle w:val="66"/>
                            <w:spacing w:line="276" w:lineRule="auto"/>
                            <w:jc w:val="center"/>
                            <w:rPr>
                              <w:rFonts w:ascii="Times New Roman" w:hAnsi="Times New Roman" w:cs="Times New Roman"/>
                              <w:sz w:val="20"/>
                              <w:szCs w:val="20"/>
                            </w:rPr>
                          </w:pPr>
                          <w:r>
                            <w:rPr>
                              <w:rFonts w:ascii="Times New Roman" w:hAnsi="Times New Roman" w:cs="Times New Roman"/>
                              <w:b/>
                              <w:color w:val="000000"/>
                              <w:sz w:val="20"/>
                              <w:szCs w:val="20"/>
                            </w:rPr>
                            <w:t>CONSTRUÇÃO REMANESCENTE UBS PORTE - I NOSSA SENHORA DA GLÓRIA</w:t>
                          </w:r>
                        </w:p>
                      </w:txbxContent>
                    </wps:txbx>
                    <wps:bodyPr anchor="ctr">
                      <a:noAutofit/>
                    </wps:bodyPr>
                  </wps:wsp>
                </a:graphicData>
              </a:graphic>
            </wp:anchor>
          </w:drawing>
        </mc:Choice>
        <mc:Fallback>
          <w:pict>
            <v:roundrect id="Retângulo: Cantos Arredondados 10" o:spid="_x0000_s1026" o:spt="2" style="position:absolute;left:0pt;margin-left:223.75pt;margin-top:-93.1pt;height:81pt;width:282.75pt;z-index:-251655168;v-text-anchor:middle;mso-width-relative:page;mso-height-relative:page;" fillcolor="#FFFFFF" filled="t" stroked="f" coordsize="21600,21600" o:allowincell="f" arcsize="0.166666666666667" o:gfxdata="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Lk6GZneAAAADQEAAA8AAAAAAAAAAQAgAAAAIgAAAGRycy9kb3ducmV2LnhtbFBLAQIUABQA&#10;AAAIAIdO4kDBgVdB6gEAANcDAAAOAAAAAAAAAAEAIAAAAC0BAABkcnMvZTJvRG9jLnhtbFBLBQYA&#10;AAAABgAGAFkBAACJBQAAAAA=&#10;">
              <v:fill on="t" focussize="0,0"/>
              <v:stroke on="f" weight="0pt"/>
              <v:imagedata o:title=""/>
              <o:lock v:ext="edit" aspectratio="f"/>
              <v:textbox>
                <w:txbxContent>
                  <w:p w14:paraId="376178B3">
                    <w:pPr>
                      <w:pStyle w:val="66"/>
                      <w:spacing w:line="276" w:lineRule="auto"/>
                      <w:jc w:val="center"/>
                      <w:rPr>
                        <w:rFonts w:ascii="Times New Roman" w:hAnsi="Times New Roman" w:cs="Times New Roman"/>
                        <w:b/>
                        <w:color w:val="000000"/>
                        <w:sz w:val="20"/>
                        <w:szCs w:val="20"/>
                      </w:rPr>
                    </w:pPr>
                    <w:r>
                      <w:rPr>
                        <w:rFonts w:ascii="Times New Roman" w:hAnsi="Times New Roman" w:cs="Times New Roman"/>
                        <w:b/>
                        <w:color w:val="000000"/>
                        <w:sz w:val="20"/>
                        <w:szCs w:val="20"/>
                      </w:rPr>
                      <w:t xml:space="preserve">SECRETARIA MUNICIPAL DE SAÚDE </w:t>
                    </w:r>
                  </w:p>
                  <w:p w14:paraId="376178B4">
                    <w:pPr>
                      <w:pStyle w:val="66"/>
                      <w:spacing w:line="276" w:lineRule="auto"/>
                      <w:jc w:val="center"/>
                      <w:rPr>
                        <w:rFonts w:ascii="Times New Roman" w:hAnsi="Times New Roman" w:cs="Times New Roman"/>
                        <w:b/>
                        <w:color w:val="000000"/>
                        <w:sz w:val="20"/>
                        <w:szCs w:val="20"/>
                      </w:rPr>
                    </w:pPr>
                    <w:r>
                      <w:rPr>
                        <w:rFonts w:ascii="Times New Roman" w:hAnsi="Times New Roman" w:cs="Times New Roman"/>
                        <w:b/>
                        <w:color w:val="000000"/>
                        <w:sz w:val="20"/>
                        <w:szCs w:val="20"/>
                      </w:rPr>
                      <w:t>ETP –</w:t>
                    </w:r>
                  </w:p>
                  <w:p w14:paraId="376178B5">
                    <w:pPr>
                      <w:pStyle w:val="66"/>
                      <w:spacing w:line="276" w:lineRule="auto"/>
                      <w:jc w:val="center"/>
                      <w:rPr>
                        <w:rFonts w:ascii="Times New Roman" w:hAnsi="Times New Roman" w:cs="Times New Roman"/>
                        <w:sz w:val="20"/>
                        <w:szCs w:val="20"/>
                      </w:rPr>
                    </w:pPr>
                    <w:r>
                      <w:rPr>
                        <w:rFonts w:ascii="Times New Roman" w:hAnsi="Times New Roman" w:cs="Times New Roman"/>
                        <w:b/>
                        <w:color w:val="000000"/>
                        <w:sz w:val="20"/>
                        <w:szCs w:val="20"/>
                      </w:rPr>
                      <w:t>CONSTRUÇÃO REMANESCENTE UBS PORTE - I NOSSA SENHORA DA GLÓRIA</w:t>
                    </w:r>
                  </w:p>
                </w:txbxContent>
              </v:textbox>
            </v:roundrect>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61788C">
    <w:pPr>
      <w:tabs>
        <w:tab w:val="center" w:pos="4252"/>
        <w:tab w:val="right" w:pos="8504"/>
      </w:tabs>
      <w:rPr>
        <w:color w:val="000000"/>
      </w:rPr>
    </w:pPr>
    <w:r>
      <w:rPr>
        <w:color w:val="000000"/>
      </w:rPr>
      <w:drawing>
        <wp:anchor distT="0" distB="0" distL="0" distR="0" simplePos="0" relativeHeight="251664384" behindDoc="1" locked="0" layoutInCell="1" allowOverlap="1">
          <wp:simplePos x="0" y="0"/>
          <wp:positionH relativeFrom="margin">
            <wp:align>center</wp:align>
          </wp:positionH>
          <wp:positionV relativeFrom="margin">
            <wp:align>center</wp:align>
          </wp:positionV>
          <wp:extent cx="4495165" cy="4328160"/>
          <wp:effectExtent l="0" t="0" r="0" b="0"/>
          <wp:wrapNone/>
          <wp:docPr id="7"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2.png"/>
                  <pic:cNvPicPr>
                    <a:picLocks noChangeAspect="1" noChangeArrowheads="1"/>
                  </pic:cNvPicPr>
                </pic:nvPicPr>
                <pic:blipFill>
                  <a:blip r:embed="rId1"/>
                  <a:stretch>
                    <a:fillRect/>
                  </a:stretch>
                </pic:blipFill>
                <pic:spPr>
                  <a:xfrm>
                    <a:off x="0" y="0"/>
                    <a:ext cx="4495165" cy="4328160"/>
                  </a:xfrm>
                  <a:prstGeom prst="rect">
                    <a:avLst/>
                  </a:prstGeom>
                </pic:spPr>
              </pic:pic>
            </a:graphicData>
          </a:graphic>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617896">
    <w:pPr>
      <w:tabs>
        <w:tab w:val="center" w:pos="4252"/>
        <w:tab w:val="right" w:pos="8504"/>
      </w:tabs>
      <w:rPr>
        <w:color w:val="000000"/>
      </w:rPr>
    </w:pPr>
    <w:r>
      <w:rPr>
        <w:color w:val="000000"/>
      </w:rPr>
      <w:drawing>
        <wp:anchor distT="0" distB="0" distL="0" distR="0" simplePos="0" relativeHeight="251660288" behindDoc="1" locked="0" layoutInCell="0" allowOverlap="1">
          <wp:simplePos x="0" y="0"/>
          <wp:positionH relativeFrom="margin">
            <wp:align>right</wp:align>
          </wp:positionH>
          <wp:positionV relativeFrom="paragraph">
            <wp:posOffset>-1334770</wp:posOffset>
          </wp:positionV>
          <wp:extent cx="6705600" cy="1323975"/>
          <wp:effectExtent l="0" t="0" r="0" b="0"/>
          <wp:wrapNone/>
          <wp:docPr id="11"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3.png"/>
                  <pic:cNvPicPr>
                    <a:picLocks noChangeAspect="1" noChangeArrowheads="1"/>
                  </pic:cNvPicPr>
                </pic:nvPicPr>
                <pic:blipFill>
                  <a:blip r:embed="rId1"/>
                  <a:stretch>
                    <a:fillRect/>
                  </a:stretch>
                </pic:blipFill>
                <pic:spPr>
                  <a:xfrm>
                    <a:off x="0" y="0"/>
                    <a:ext cx="6705600" cy="1323975"/>
                  </a:xfrm>
                  <a:prstGeom prst="rect">
                    <a:avLst/>
                  </a:prstGeom>
                </pic:spPr>
              </pic:pic>
            </a:graphicData>
          </a:graphic>
        </wp:anchor>
      </w:drawing>
    </w:r>
    <w:r>
      <w:rPr>
        <w:color w:val="000000"/>
      </w:rPr>
      <mc:AlternateContent>
        <mc:Choice Requires="wps">
          <w:drawing>
            <wp:anchor distT="0" distB="0" distL="0" distR="9525" simplePos="0" relativeHeight="251662336" behindDoc="1" locked="0" layoutInCell="0" allowOverlap="1">
              <wp:simplePos x="0" y="0"/>
              <wp:positionH relativeFrom="column">
                <wp:posOffset>2841625</wp:posOffset>
              </wp:positionH>
              <wp:positionV relativeFrom="paragraph">
                <wp:posOffset>-1182370</wp:posOffset>
              </wp:positionV>
              <wp:extent cx="3590925" cy="1028700"/>
              <wp:effectExtent l="1270" t="635" r="0" b="635"/>
              <wp:wrapNone/>
              <wp:docPr id="12" name="Retângulo: Cantos Arredondados 10"/>
              <wp:cNvGraphicFramePr/>
              <a:graphic xmlns:a="http://schemas.openxmlformats.org/drawingml/2006/main">
                <a:graphicData uri="http://schemas.microsoft.com/office/word/2010/wordprocessingShape">
                  <wps:wsp>
                    <wps:cNvSpPr/>
                    <wps:spPr>
                      <a:xfrm>
                        <a:off x="0" y="0"/>
                        <a:ext cx="3591000" cy="1028880"/>
                      </a:xfrm>
                      <a:prstGeom prst="roundRect">
                        <a:avLst>
                          <a:gd name="adj" fmla="val 16667"/>
                        </a:avLst>
                      </a:prstGeom>
                      <a:solidFill>
                        <a:srgbClr val="FFFFFF"/>
                      </a:solidFill>
                      <a:ln w="0">
                        <a:noFill/>
                      </a:ln>
                    </wps:spPr>
                    <wps:style>
                      <a:lnRef idx="0">
                        <a:scrgbClr r="0" g="0" b="0"/>
                      </a:lnRef>
                      <a:fillRef idx="0">
                        <a:scrgbClr r="0" g="0" b="0"/>
                      </a:fillRef>
                      <a:effectRef idx="0">
                        <a:scrgbClr r="0" g="0" b="0"/>
                      </a:effectRef>
                      <a:fontRef idx="minor"/>
                    </wps:style>
                    <wps:txbx>
                      <w:txbxContent>
                        <w:p w14:paraId="376178AE">
                          <w:pPr>
                            <w:pStyle w:val="66"/>
                            <w:jc w:val="center"/>
                            <w:rPr>
                              <w:b/>
                              <w:color w:val="000000"/>
                              <w:sz w:val="24"/>
                            </w:rPr>
                          </w:pPr>
                        </w:p>
                        <w:p w14:paraId="376178AF">
                          <w:pPr>
                            <w:pStyle w:val="66"/>
                            <w:jc w:val="center"/>
                          </w:pPr>
                          <w:r>
                            <w:rPr>
                              <w:b/>
                              <w:color w:val="000000"/>
                              <w:sz w:val="24"/>
                            </w:rPr>
                            <w:t>Secretaria Municipal de Infraestrutura</w:t>
                          </w:r>
                        </w:p>
                        <w:p w14:paraId="376178B0">
                          <w:pPr>
                            <w:pStyle w:val="66"/>
                            <w:jc w:val="center"/>
                          </w:pPr>
                          <w:r>
                            <w:rPr>
                              <w:b/>
                              <w:color w:val="000000"/>
                              <w:sz w:val="24"/>
                            </w:rPr>
                            <w:t>ETP – XXXXXXXXXXXXXXXXXXX</w:t>
                          </w:r>
                        </w:p>
                        <w:p w14:paraId="376178B1">
                          <w:pPr>
                            <w:pStyle w:val="66"/>
                            <w:jc w:val="center"/>
                          </w:pPr>
                        </w:p>
                      </w:txbxContent>
                    </wps:txbx>
                    <wps:bodyPr anchor="ctr">
                      <a:noAutofit/>
                    </wps:bodyPr>
                  </wps:wsp>
                </a:graphicData>
              </a:graphic>
            </wp:anchor>
          </w:drawing>
        </mc:Choice>
        <mc:Fallback>
          <w:pict>
            <v:roundrect id="Retângulo: Cantos Arredondados 10" o:spid="_x0000_s1026" o:spt="2" style="position:absolute;left:0pt;margin-left:223.75pt;margin-top:-93.1pt;height:81pt;width:282.75pt;z-index:-251654144;v-text-anchor:middle;mso-width-relative:page;mso-height-relative:page;" fillcolor="#FFFFFF" filled="t" stroked="f" coordsize="21600,21600" o:allowincell="f" arcsize="0.166666666666667" o:gfxdata="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C5OhmZ3gAAAA0BAAAPAAAAAAAAAAEAIAAAACIAAABkcnMvZG93bnJldi54bWxQSwECFAAU&#10;AAAACACHTuJA3k2nv+sBAADYAwAADgAAAAAAAAABACAAAAAtAQAAZHJzL2Uyb0RvYy54bWxQSwUG&#10;AAAAAAYABgBZAQAAigUAAAAA&#10;">
              <v:fill on="t" focussize="0,0"/>
              <v:stroke on="f" weight="0pt"/>
              <v:imagedata o:title=""/>
              <o:lock v:ext="edit" aspectratio="f"/>
              <v:textbox>
                <w:txbxContent>
                  <w:p w14:paraId="376178AE">
                    <w:pPr>
                      <w:pStyle w:val="66"/>
                      <w:jc w:val="center"/>
                      <w:rPr>
                        <w:b/>
                        <w:color w:val="000000"/>
                        <w:sz w:val="24"/>
                      </w:rPr>
                    </w:pPr>
                  </w:p>
                  <w:p w14:paraId="376178AF">
                    <w:pPr>
                      <w:pStyle w:val="66"/>
                      <w:jc w:val="center"/>
                    </w:pPr>
                    <w:r>
                      <w:rPr>
                        <w:b/>
                        <w:color w:val="000000"/>
                        <w:sz w:val="24"/>
                      </w:rPr>
                      <w:t>Secretaria Municipal de Infraestrutura</w:t>
                    </w:r>
                  </w:p>
                  <w:p w14:paraId="376178B0">
                    <w:pPr>
                      <w:pStyle w:val="66"/>
                      <w:jc w:val="center"/>
                    </w:pPr>
                    <w:r>
                      <w:rPr>
                        <w:b/>
                        <w:color w:val="000000"/>
                        <w:sz w:val="24"/>
                      </w:rPr>
                      <w:t>ETP – XXXXXXXXXXXXXXXXXXX</w:t>
                    </w:r>
                  </w:p>
                  <w:p w14:paraId="376178B1">
                    <w:pPr>
                      <w:pStyle w:val="66"/>
                      <w:jc w:val="center"/>
                    </w:pPr>
                  </w:p>
                </w:txbxContent>
              </v:textbox>
            </v:roundrect>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45C3AA9"/>
    <w:multiLevelType w:val="multilevel"/>
    <w:tmpl w:val="145C3AA9"/>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
    <w:nsid w:val="30613614"/>
    <w:multiLevelType w:val="multilevel"/>
    <w:tmpl w:val="30613614"/>
    <w:lvl w:ilvl="0" w:tentative="0">
      <w:start w:val="1"/>
      <w:numFmt w:val="decimal"/>
      <w:pStyle w:val="72"/>
      <w:lvlText w:val="%1."/>
      <w:lvlJc w:val="left"/>
      <w:pPr>
        <w:tabs>
          <w:tab w:val="left" w:pos="0"/>
        </w:tabs>
        <w:ind w:left="1495" w:hanging="360"/>
      </w:pPr>
      <w:rPr>
        <w:b/>
      </w:rPr>
    </w:lvl>
    <w:lvl w:ilvl="1" w:tentative="0">
      <w:start w:val="1"/>
      <w:numFmt w:val="decimal"/>
      <w:pStyle w:val="58"/>
      <w:lvlText w:val="%1.%2."/>
      <w:lvlJc w:val="left"/>
      <w:pPr>
        <w:tabs>
          <w:tab w:val="left" w:pos="0"/>
        </w:tabs>
        <w:ind w:left="1709" w:hanging="432"/>
      </w:pPr>
      <w:rPr>
        <w:b w:val="0"/>
        <w:i w:val="0"/>
        <w:strike w:val="0"/>
        <w:dstrike w:val="0"/>
        <w:color w:val="auto"/>
        <w:sz w:val="20"/>
        <w:szCs w:val="20"/>
        <w:u w:val="none"/>
      </w:rPr>
    </w:lvl>
    <w:lvl w:ilvl="2" w:tentative="0">
      <w:start w:val="1"/>
      <w:numFmt w:val="decimal"/>
      <w:pStyle w:val="75"/>
      <w:lvlText w:val="%1.%2.%3"/>
      <w:lvlJc w:val="left"/>
      <w:pPr>
        <w:tabs>
          <w:tab w:val="left" w:pos="0"/>
        </w:tabs>
        <w:ind w:left="3624" w:hanging="504"/>
      </w:pPr>
      <w:rPr>
        <w:b w:val="0"/>
        <w:i w:val="0"/>
        <w:strike w:val="0"/>
        <w:dstrike w:val="0"/>
        <w:color w:val="000000" w:themeColor="text1"/>
        <w:sz w:val="20"/>
        <w:szCs w:val="20"/>
        <w14:textFill>
          <w14:solidFill>
            <w14:schemeClr w14:val="tx1"/>
          </w14:solidFill>
        </w14:textFill>
      </w:rPr>
    </w:lvl>
    <w:lvl w:ilvl="3" w:tentative="0">
      <w:start w:val="1"/>
      <w:numFmt w:val="decimal"/>
      <w:lvlText w:val="%1.%2.%3.%4."/>
      <w:lvlJc w:val="left"/>
      <w:pPr>
        <w:tabs>
          <w:tab w:val="left" w:pos="0"/>
        </w:tabs>
        <w:ind w:left="3626" w:hanging="648"/>
      </w:pPr>
    </w:lvl>
    <w:lvl w:ilvl="4" w:tentative="0">
      <w:start w:val="1"/>
      <w:numFmt w:val="decimal"/>
      <w:lvlText w:val="%1.%2.%3.%4.%5."/>
      <w:lvlJc w:val="left"/>
      <w:pPr>
        <w:tabs>
          <w:tab w:val="left" w:pos="0"/>
        </w:tabs>
        <w:ind w:left="3367" w:hanging="792"/>
      </w:pPr>
    </w:lvl>
    <w:lvl w:ilvl="5" w:tentative="0">
      <w:start w:val="1"/>
      <w:numFmt w:val="decimal"/>
      <w:lvlText w:val="%1.%2.%3.%4.%5.%6."/>
      <w:lvlJc w:val="left"/>
      <w:pPr>
        <w:tabs>
          <w:tab w:val="left" w:pos="0"/>
        </w:tabs>
        <w:ind w:left="3871" w:hanging="936"/>
      </w:pPr>
    </w:lvl>
    <w:lvl w:ilvl="6" w:tentative="0">
      <w:start w:val="1"/>
      <w:numFmt w:val="decimal"/>
      <w:lvlText w:val="%1.%2.%3.%4.%5.%6.%7."/>
      <w:lvlJc w:val="left"/>
      <w:pPr>
        <w:tabs>
          <w:tab w:val="left" w:pos="0"/>
        </w:tabs>
        <w:ind w:left="4375" w:hanging="1080"/>
      </w:pPr>
    </w:lvl>
    <w:lvl w:ilvl="7" w:tentative="0">
      <w:start w:val="1"/>
      <w:numFmt w:val="decimal"/>
      <w:lvlText w:val="%1.%2.%3.%4.%5.%6.%7.%8."/>
      <w:lvlJc w:val="left"/>
      <w:pPr>
        <w:tabs>
          <w:tab w:val="left" w:pos="0"/>
        </w:tabs>
        <w:ind w:left="4879" w:hanging="1224"/>
      </w:pPr>
    </w:lvl>
    <w:lvl w:ilvl="8" w:tentative="0">
      <w:start w:val="1"/>
      <w:numFmt w:val="decimal"/>
      <w:lvlText w:val="%1.%2.%3.%4.%5.%6.%7.%8.%9."/>
      <w:lvlJc w:val="left"/>
      <w:pPr>
        <w:tabs>
          <w:tab w:val="left" w:pos="0"/>
        </w:tabs>
        <w:ind w:left="5455" w:hanging="1440"/>
      </w:pPr>
    </w:lvl>
  </w:abstractNum>
  <w:abstractNum w:abstractNumId="2">
    <w:nsid w:val="35862087"/>
    <w:multiLevelType w:val="multilevel"/>
    <w:tmpl w:val="35862087"/>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
    <w:nsid w:val="429D3E76"/>
    <w:multiLevelType w:val="multilevel"/>
    <w:tmpl w:val="429D3E76"/>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4">
    <w:nsid w:val="47CA55E6"/>
    <w:multiLevelType w:val="multilevel"/>
    <w:tmpl w:val="47CA55E6"/>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
    <w:nsid w:val="53123259"/>
    <w:multiLevelType w:val="multilevel"/>
    <w:tmpl w:val="53123259"/>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6">
    <w:nsid w:val="7A9B5096"/>
    <w:multiLevelType w:val="multilevel"/>
    <w:tmpl w:val="7A9B5096"/>
    <w:lvl w:ilvl="0" w:tentative="0">
      <w:start w:val="1"/>
      <w:numFmt w:val="decimal"/>
      <w:lvlText w:val="%1."/>
      <w:lvlJc w:val="left"/>
      <w:pPr>
        <w:tabs>
          <w:tab w:val="left" w:pos="720"/>
        </w:tabs>
        <w:ind w:left="720" w:hanging="36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num w:numId="1">
    <w:abstractNumId w:val="1"/>
  </w:num>
  <w:num w:numId="2">
    <w:abstractNumId w:val="6"/>
  </w:num>
  <w:num w:numId="3">
    <w:abstractNumId w:val="2"/>
  </w:num>
  <w:num w:numId="4">
    <w:abstractNumId w:val="5"/>
  </w:num>
  <w:num w:numId="5">
    <w:abstractNumId w:val="3"/>
  </w:num>
  <w:num w:numId="6">
    <w:abstractNumId w:val="0"/>
  </w:num>
  <w:num w:numId="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bordersDoNotSurroundHeader w:val="0"/>
  <w:bordersDoNotSurroundFooter w:val="0"/>
  <w:documentProtection w:enforcement="0"/>
  <w:defaultTabStop w:val="720"/>
  <w:autoHyphenation/>
  <w:hyphenationZone w:val="425"/>
  <w:displayHorizontalDrawingGridEvery w:val="1"/>
  <w:displayVerticalDrawingGridEvery w:val="1"/>
  <w:noPunctuationKerning w:val="1"/>
  <w:characterSpacingControl w:val="doNotCompress"/>
  <w:compat>
    <w:doNotExpandShiftReturn/>
    <w:doNotWrapTextWithPunct/>
    <w:doNotUseEastAsianBreak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6106E"/>
    <w:rsid w:val="00010D26"/>
    <w:rsid w:val="00015D87"/>
    <w:rsid w:val="0003292D"/>
    <w:rsid w:val="00033FA9"/>
    <w:rsid w:val="00035E79"/>
    <w:rsid w:val="0003681B"/>
    <w:rsid w:val="00041B7B"/>
    <w:rsid w:val="000515D9"/>
    <w:rsid w:val="000735EB"/>
    <w:rsid w:val="000847B0"/>
    <w:rsid w:val="000876DC"/>
    <w:rsid w:val="00091479"/>
    <w:rsid w:val="00095392"/>
    <w:rsid w:val="000A0BC5"/>
    <w:rsid w:val="000B1B5A"/>
    <w:rsid w:val="000B1FD5"/>
    <w:rsid w:val="000B4D63"/>
    <w:rsid w:val="000B621F"/>
    <w:rsid w:val="000C35A8"/>
    <w:rsid w:val="000C5851"/>
    <w:rsid w:val="000D3581"/>
    <w:rsid w:val="000D5688"/>
    <w:rsid w:val="000F4744"/>
    <w:rsid w:val="00112EEA"/>
    <w:rsid w:val="001204F2"/>
    <w:rsid w:val="00186561"/>
    <w:rsid w:val="00195E9E"/>
    <w:rsid w:val="001965D8"/>
    <w:rsid w:val="001D1419"/>
    <w:rsid w:val="001D352F"/>
    <w:rsid w:val="001D7353"/>
    <w:rsid w:val="001E4746"/>
    <w:rsid w:val="001F07A6"/>
    <w:rsid w:val="001F4C34"/>
    <w:rsid w:val="00200026"/>
    <w:rsid w:val="00203827"/>
    <w:rsid w:val="00207719"/>
    <w:rsid w:val="00211CB2"/>
    <w:rsid w:val="002130A8"/>
    <w:rsid w:val="00221A83"/>
    <w:rsid w:val="002279C5"/>
    <w:rsid w:val="0023195C"/>
    <w:rsid w:val="00243F97"/>
    <w:rsid w:val="002445A2"/>
    <w:rsid w:val="002616FE"/>
    <w:rsid w:val="002755C3"/>
    <w:rsid w:val="00284709"/>
    <w:rsid w:val="00294746"/>
    <w:rsid w:val="002C7503"/>
    <w:rsid w:val="002F223D"/>
    <w:rsid w:val="003046F2"/>
    <w:rsid w:val="003172C2"/>
    <w:rsid w:val="00317C30"/>
    <w:rsid w:val="00336F9B"/>
    <w:rsid w:val="00340727"/>
    <w:rsid w:val="00346013"/>
    <w:rsid w:val="00375082"/>
    <w:rsid w:val="00376018"/>
    <w:rsid w:val="00386C7A"/>
    <w:rsid w:val="003925BA"/>
    <w:rsid w:val="00396D82"/>
    <w:rsid w:val="003A02D0"/>
    <w:rsid w:val="003A5CDA"/>
    <w:rsid w:val="003B0405"/>
    <w:rsid w:val="003B422D"/>
    <w:rsid w:val="003B4BE6"/>
    <w:rsid w:val="003B76DB"/>
    <w:rsid w:val="003C0CA3"/>
    <w:rsid w:val="003C2E05"/>
    <w:rsid w:val="003E6844"/>
    <w:rsid w:val="003F6C55"/>
    <w:rsid w:val="00421959"/>
    <w:rsid w:val="0043278F"/>
    <w:rsid w:val="00433A84"/>
    <w:rsid w:val="004662A4"/>
    <w:rsid w:val="004730E1"/>
    <w:rsid w:val="00474F2B"/>
    <w:rsid w:val="0047581C"/>
    <w:rsid w:val="004A418C"/>
    <w:rsid w:val="004A7EBD"/>
    <w:rsid w:val="004C20BF"/>
    <w:rsid w:val="004C3D17"/>
    <w:rsid w:val="004F369E"/>
    <w:rsid w:val="004F478C"/>
    <w:rsid w:val="004F7B33"/>
    <w:rsid w:val="00521D45"/>
    <w:rsid w:val="00541351"/>
    <w:rsid w:val="005422FF"/>
    <w:rsid w:val="0055172B"/>
    <w:rsid w:val="00582A33"/>
    <w:rsid w:val="005A61ED"/>
    <w:rsid w:val="005B1602"/>
    <w:rsid w:val="005C0F55"/>
    <w:rsid w:val="005D13BB"/>
    <w:rsid w:val="005E1F1C"/>
    <w:rsid w:val="005E5FB3"/>
    <w:rsid w:val="005F1265"/>
    <w:rsid w:val="005F5995"/>
    <w:rsid w:val="0060014C"/>
    <w:rsid w:val="00600ECB"/>
    <w:rsid w:val="00624FAE"/>
    <w:rsid w:val="0063170B"/>
    <w:rsid w:val="0063783D"/>
    <w:rsid w:val="00651198"/>
    <w:rsid w:val="00652BE5"/>
    <w:rsid w:val="00664BD9"/>
    <w:rsid w:val="006818C3"/>
    <w:rsid w:val="00682088"/>
    <w:rsid w:val="00691D99"/>
    <w:rsid w:val="00692BE3"/>
    <w:rsid w:val="00697800"/>
    <w:rsid w:val="006A7C8B"/>
    <w:rsid w:val="006B0988"/>
    <w:rsid w:val="006B31A3"/>
    <w:rsid w:val="006B4915"/>
    <w:rsid w:val="006B5C70"/>
    <w:rsid w:val="006C5473"/>
    <w:rsid w:val="006C6F44"/>
    <w:rsid w:val="006C74EE"/>
    <w:rsid w:val="006F744B"/>
    <w:rsid w:val="007070F0"/>
    <w:rsid w:val="00723456"/>
    <w:rsid w:val="00723476"/>
    <w:rsid w:val="007259E1"/>
    <w:rsid w:val="00726F10"/>
    <w:rsid w:val="007607DA"/>
    <w:rsid w:val="00765A63"/>
    <w:rsid w:val="00773C2F"/>
    <w:rsid w:val="00782138"/>
    <w:rsid w:val="007863C0"/>
    <w:rsid w:val="00792369"/>
    <w:rsid w:val="007A580D"/>
    <w:rsid w:val="007C0266"/>
    <w:rsid w:val="00805256"/>
    <w:rsid w:val="00843D0C"/>
    <w:rsid w:val="00852A93"/>
    <w:rsid w:val="00864A4E"/>
    <w:rsid w:val="008708A2"/>
    <w:rsid w:val="0087387C"/>
    <w:rsid w:val="00884300"/>
    <w:rsid w:val="00894981"/>
    <w:rsid w:val="0089737E"/>
    <w:rsid w:val="008B2E7E"/>
    <w:rsid w:val="008B3C3F"/>
    <w:rsid w:val="008B4CDD"/>
    <w:rsid w:val="008D37CF"/>
    <w:rsid w:val="008E5351"/>
    <w:rsid w:val="008F22B5"/>
    <w:rsid w:val="008F4945"/>
    <w:rsid w:val="008F64FE"/>
    <w:rsid w:val="00905347"/>
    <w:rsid w:val="00906D08"/>
    <w:rsid w:val="00911382"/>
    <w:rsid w:val="009225E1"/>
    <w:rsid w:val="0093361A"/>
    <w:rsid w:val="0093745A"/>
    <w:rsid w:val="0094463F"/>
    <w:rsid w:val="00953B74"/>
    <w:rsid w:val="00956369"/>
    <w:rsid w:val="00980CD7"/>
    <w:rsid w:val="00981FD8"/>
    <w:rsid w:val="00997B1F"/>
    <w:rsid w:val="009A1C29"/>
    <w:rsid w:val="009A32B8"/>
    <w:rsid w:val="009A70AD"/>
    <w:rsid w:val="009B0EB5"/>
    <w:rsid w:val="009B3C5A"/>
    <w:rsid w:val="009E567F"/>
    <w:rsid w:val="009F03BB"/>
    <w:rsid w:val="009F3FCB"/>
    <w:rsid w:val="00A05487"/>
    <w:rsid w:val="00A0641F"/>
    <w:rsid w:val="00A13758"/>
    <w:rsid w:val="00A26829"/>
    <w:rsid w:val="00A331C6"/>
    <w:rsid w:val="00A3640C"/>
    <w:rsid w:val="00A72804"/>
    <w:rsid w:val="00A73B3F"/>
    <w:rsid w:val="00A82189"/>
    <w:rsid w:val="00A83A82"/>
    <w:rsid w:val="00A8600F"/>
    <w:rsid w:val="00A91772"/>
    <w:rsid w:val="00A92AB0"/>
    <w:rsid w:val="00AA5208"/>
    <w:rsid w:val="00AA5762"/>
    <w:rsid w:val="00AB77E3"/>
    <w:rsid w:val="00AC546A"/>
    <w:rsid w:val="00AD694C"/>
    <w:rsid w:val="00AE61A0"/>
    <w:rsid w:val="00AE7468"/>
    <w:rsid w:val="00AF7E7A"/>
    <w:rsid w:val="00B052DB"/>
    <w:rsid w:val="00B1639A"/>
    <w:rsid w:val="00B36F55"/>
    <w:rsid w:val="00B45D7C"/>
    <w:rsid w:val="00B6296F"/>
    <w:rsid w:val="00B74AA0"/>
    <w:rsid w:val="00B96B67"/>
    <w:rsid w:val="00BA64FE"/>
    <w:rsid w:val="00BC6018"/>
    <w:rsid w:val="00BE1C58"/>
    <w:rsid w:val="00BF3DFB"/>
    <w:rsid w:val="00C033E8"/>
    <w:rsid w:val="00C34957"/>
    <w:rsid w:val="00C46300"/>
    <w:rsid w:val="00C551B0"/>
    <w:rsid w:val="00C73501"/>
    <w:rsid w:val="00C90EF5"/>
    <w:rsid w:val="00C936CB"/>
    <w:rsid w:val="00CB30E4"/>
    <w:rsid w:val="00CB6FD1"/>
    <w:rsid w:val="00CC2A41"/>
    <w:rsid w:val="00CD67B3"/>
    <w:rsid w:val="00CE22CB"/>
    <w:rsid w:val="00CF1B46"/>
    <w:rsid w:val="00D22949"/>
    <w:rsid w:val="00D559FD"/>
    <w:rsid w:val="00D6106E"/>
    <w:rsid w:val="00D8617B"/>
    <w:rsid w:val="00DD1F8E"/>
    <w:rsid w:val="00DE1C96"/>
    <w:rsid w:val="00E27BB5"/>
    <w:rsid w:val="00E33C70"/>
    <w:rsid w:val="00E34CBC"/>
    <w:rsid w:val="00E37F44"/>
    <w:rsid w:val="00E55604"/>
    <w:rsid w:val="00E56DBC"/>
    <w:rsid w:val="00E8018C"/>
    <w:rsid w:val="00E875E0"/>
    <w:rsid w:val="00E87A14"/>
    <w:rsid w:val="00EA0B22"/>
    <w:rsid w:val="00EA11E6"/>
    <w:rsid w:val="00EA75E3"/>
    <w:rsid w:val="00EE12B0"/>
    <w:rsid w:val="00EE20EA"/>
    <w:rsid w:val="00EE55DA"/>
    <w:rsid w:val="00EF20C6"/>
    <w:rsid w:val="00F02D2F"/>
    <w:rsid w:val="00F10A4C"/>
    <w:rsid w:val="00F111A5"/>
    <w:rsid w:val="00F116A0"/>
    <w:rsid w:val="00F14C3F"/>
    <w:rsid w:val="00F16DB4"/>
    <w:rsid w:val="00F20131"/>
    <w:rsid w:val="00F24057"/>
    <w:rsid w:val="00F46AD0"/>
    <w:rsid w:val="00F563B8"/>
    <w:rsid w:val="00F60A9E"/>
    <w:rsid w:val="00F63D41"/>
    <w:rsid w:val="00F80632"/>
    <w:rsid w:val="00F81A06"/>
    <w:rsid w:val="00F878FF"/>
    <w:rsid w:val="00F931A6"/>
    <w:rsid w:val="00FC3FEE"/>
    <w:rsid w:val="00FC4A6A"/>
    <w:rsid w:val="00FD1334"/>
    <w:rsid w:val="00FD491C"/>
    <w:rsid w:val="00FF272F"/>
    <w:rsid w:val="00FF28B8"/>
    <w:rsid w:val="041246F1"/>
    <w:rsid w:val="52DB5C32"/>
    <w:rsid w:val="6CC702B9"/>
  </w:rsids>
  <m:mathPr>
    <m:mathFont m:val="Cambria Math"/>
    <m:brkBin m:val="before"/>
    <m:brkBinSub m:val="--"/>
    <m:smallFrac m:val="0"/>
    <m:dispDef/>
    <m:lMargin m:val="0"/>
    <m:rMargin m:val="0"/>
    <m:defJc m:val="centerGroup"/>
    <m:wrapIndent m:val="1440"/>
    <m:intLim m:val="subSup"/>
    <m:naryLim m:val="undOvr"/>
  </m:mathPr>
  <w:themeFontLang w:val="pt-BR" w:eastAsia="zh-CN" w:bidi="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SimSun"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semiHidden="0"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uiPriority="99" w:semiHidden="0" w:name="header"/>
    <w:lsdException w:uiPriority="99" w:semiHidden="0" w:name="footer"/>
    <w:lsdException w:unhideWhenUsed="0" w:uiPriority="0" w:semiHidden="0" w:name="index heading"/>
    <w:lsdException w:qFormat="1" w:unhideWhenUsed="0" w:uiPriority="0" w:semiHidden="0" w:name="caption"/>
    <w:lsdException w:uiPriority="99" w:name="table of figures"/>
    <w:lsdException w:uiPriority="99" w:name="envelope address"/>
    <w:lsdException w:uiPriority="99" w:name="envelope return"/>
    <w:lsdException w:uiPriority="99" w:name="footnote reference"/>
    <w:lsdException w:qFormat="1" w:uiPriority="0" w:semiHidden="0" w:name="annotation reference"/>
    <w:lsdException w:uiPriority="99" w:name="line number"/>
    <w:lsdException w:qFormat="1" w:uiPriority="99"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nhideWhenUsed="0" w:uiPriority="0"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nhideWhenUsed="0" w:uiPriority="0" w:semiHidden="0" w:name="Signature"/>
    <w:lsdException w:uiPriority="1" w:semiHidden="0" w:name="Default Paragraph Font"/>
    <w:lsdException w:qFormat="1" w:unhideWhenUsed="0" w:uiPriority="1"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qFormat="1" w:unhideWhenUsed="0" w:uiPriority="99" w:name="Placeholder Text"/>
    <w:lsdException w:qFormat="1" w:unhideWhenUsed="0" w:uiPriority="1" w:semiHidden="0" w:name="No Spacing"/>
    <w:lsdException w:qFormat="1" w:unhideWhenUsed="0" w:uiPriority="34" w:semiHidden="0" w:name="List Paragraph"/>
    <w:lsdException w:qFormat="1" w:unhideWhenUsed="0" w:uiPriority="29" w:semiHidden="0" w:name="Quote"/>
    <w:lsdException w:qFormat="1" w:unhideWhenUsed="0" w:uiPriority="30" w:semiHidden="0" w:name="Intense Quote"/>
  </w:latentStyles>
  <w:style w:type="paragraph" w:default="1" w:styleId="1">
    <w:name w:val="Normal"/>
    <w:qFormat/>
    <w:uiPriority w:val="0"/>
    <w:pPr>
      <w:widowControl w:val="0"/>
      <w:suppressAutoHyphens/>
    </w:pPr>
    <w:rPr>
      <w:rFonts w:ascii="Arial" w:hAnsi="Arial" w:eastAsia="Arial" w:cs="Arial"/>
      <w:sz w:val="22"/>
      <w:szCs w:val="22"/>
      <w:lang w:val="pt-BR" w:eastAsia="en-US" w:bidi="ar-SA"/>
    </w:rPr>
  </w:style>
  <w:style w:type="paragraph" w:styleId="2">
    <w:name w:val="heading 1"/>
    <w:basedOn w:val="1"/>
    <w:next w:val="1"/>
    <w:link w:val="31"/>
    <w:qFormat/>
    <w:uiPriority w:val="9"/>
    <w:pPr>
      <w:keepNext/>
      <w:keepLines/>
      <w:spacing w:before="360" w:after="80"/>
      <w:outlineLvl w:val="0"/>
    </w:pPr>
    <w:rPr>
      <w:rFonts w:asciiTheme="majorHAnsi" w:hAnsiTheme="majorHAnsi" w:eastAsiaTheme="majorEastAsia" w:cstheme="majorBidi"/>
      <w:color w:val="2F5597" w:themeColor="accent1" w:themeShade="BF"/>
      <w:sz w:val="40"/>
      <w:szCs w:val="40"/>
    </w:rPr>
  </w:style>
  <w:style w:type="paragraph" w:styleId="3">
    <w:name w:val="heading 2"/>
    <w:basedOn w:val="1"/>
    <w:next w:val="1"/>
    <w:link w:val="32"/>
    <w:semiHidden/>
    <w:unhideWhenUsed/>
    <w:qFormat/>
    <w:uiPriority w:val="9"/>
    <w:pPr>
      <w:keepNext/>
      <w:keepLines/>
      <w:spacing w:before="160" w:after="80"/>
      <w:outlineLvl w:val="1"/>
    </w:pPr>
    <w:rPr>
      <w:rFonts w:asciiTheme="majorHAnsi" w:hAnsiTheme="majorHAnsi" w:eastAsiaTheme="majorEastAsia" w:cstheme="majorBidi"/>
      <w:color w:val="2F5597" w:themeColor="accent1" w:themeShade="BF"/>
      <w:sz w:val="32"/>
      <w:szCs w:val="32"/>
    </w:rPr>
  </w:style>
  <w:style w:type="paragraph" w:styleId="4">
    <w:name w:val="heading 3"/>
    <w:basedOn w:val="1"/>
    <w:next w:val="1"/>
    <w:link w:val="33"/>
    <w:semiHidden/>
    <w:unhideWhenUsed/>
    <w:qFormat/>
    <w:uiPriority w:val="9"/>
    <w:pPr>
      <w:keepNext/>
      <w:keepLines/>
      <w:spacing w:before="160" w:after="80"/>
      <w:outlineLvl w:val="2"/>
    </w:pPr>
    <w:rPr>
      <w:rFonts w:eastAsiaTheme="majorEastAsia" w:cstheme="majorBidi"/>
      <w:color w:val="2F5597" w:themeColor="accent1" w:themeShade="BF"/>
      <w:sz w:val="28"/>
      <w:szCs w:val="28"/>
    </w:rPr>
  </w:style>
  <w:style w:type="paragraph" w:styleId="5">
    <w:name w:val="heading 4"/>
    <w:basedOn w:val="1"/>
    <w:next w:val="1"/>
    <w:link w:val="34"/>
    <w:semiHidden/>
    <w:unhideWhenUsed/>
    <w:qFormat/>
    <w:uiPriority w:val="9"/>
    <w:pPr>
      <w:keepNext/>
      <w:keepLines/>
      <w:spacing w:before="80" w:after="40"/>
      <w:outlineLvl w:val="3"/>
    </w:pPr>
    <w:rPr>
      <w:rFonts w:eastAsiaTheme="majorEastAsia" w:cstheme="majorBidi"/>
      <w:i/>
      <w:iCs/>
      <w:color w:val="2F5597" w:themeColor="accent1" w:themeShade="BF"/>
    </w:rPr>
  </w:style>
  <w:style w:type="paragraph" w:styleId="6">
    <w:name w:val="heading 5"/>
    <w:basedOn w:val="1"/>
    <w:next w:val="1"/>
    <w:link w:val="35"/>
    <w:semiHidden/>
    <w:unhideWhenUsed/>
    <w:qFormat/>
    <w:uiPriority w:val="9"/>
    <w:pPr>
      <w:keepNext/>
      <w:keepLines/>
      <w:spacing w:before="80" w:after="40"/>
      <w:outlineLvl w:val="4"/>
    </w:pPr>
    <w:rPr>
      <w:rFonts w:eastAsiaTheme="majorEastAsia" w:cstheme="majorBidi"/>
      <w:color w:val="2F5597" w:themeColor="accent1" w:themeShade="BF"/>
    </w:rPr>
  </w:style>
  <w:style w:type="paragraph" w:styleId="7">
    <w:name w:val="heading 6"/>
    <w:basedOn w:val="1"/>
    <w:next w:val="1"/>
    <w:link w:val="36"/>
    <w:semiHidden/>
    <w:unhideWhenUsed/>
    <w:qFormat/>
    <w:uiPriority w:val="9"/>
    <w:pPr>
      <w:keepNext/>
      <w:keepLines/>
      <w:spacing w:before="40"/>
      <w:outlineLvl w:val="5"/>
    </w:pPr>
    <w:rPr>
      <w:rFonts w:eastAsiaTheme="majorEastAsia" w:cstheme="majorBidi"/>
      <w:i/>
      <w:iCs/>
      <w:color w:val="595959" w:themeColor="text1" w:themeTint="A6"/>
      <w14:textFill>
        <w14:solidFill>
          <w14:schemeClr w14:val="tx1">
            <w14:lumMod w14:val="65000"/>
            <w14:lumOff w14:val="35000"/>
          </w14:schemeClr>
        </w14:solidFill>
      </w14:textFill>
    </w:rPr>
  </w:style>
  <w:style w:type="paragraph" w:styleId="8">
    <w:name w:val="heading 7"/>
    <w:basedOn w:val="1"/>
    <w:next w:val="1"/>
    <w:link w:val="37"/>
    <w:semiHidden/>
    <w:unhideWhenUsed/>
    <w:qFormat/>
    <w:uiPriority w:val="9"/>
    <w:pPr>
      <w:keepNext/>
      <w:keepLines/>
      <w:spacing w:before="40"/>
      <w:outlineLvl w:val="6"/>
    </w:pPr>
    <w:rPr>
      <w:rFonts w:eastAsiaTheme="majorEastAsia" w:cstheme="majorBidi"/>
      <w:color w:val="595959" w:themeColor="text1" w:themeTint="A6"/>
      <w14:textFill>
        <w14:solidFill>
          <w14:schemeClr w14:val="tx1">
            <w14:lumMod w14:val="65000"/>
            <w14:lumOff w14:val="35000"/>
          </w14:schemeClr>
        </w14:solidFill>
      </w14:textFill>
    </w:rPr>
  </w:style>
  <w:style w:type="paragraph" w:styleId="9">
    <w:name w:val="heading 8"/>
    <w:basedOn w:val="1"/>
    <w:next w:val="1"/>
    <w:link w:val="38"/>
    <w:semiHidden/>
    <w:unhideWhenUsed/>
    <w:qFormat/>
    <w:uiPriority w:val="9"/>
    <w:pPr>
      <w:keepNext/>
      <w:keepLines/>
      <w:outlineLvl w:val="7"/>
    </w:pPr>
    <w:rPr>
      <w:rFonts w:eastAsiaTheme="majorEastAsia" w:cstheme="majorBidi"/>
      <w:i/>
      <w:iCs/>
      <w:color w:val="262626" w:themeColor="text1" w:themeTint="D9"/>
      <w14:textFill>
        <w14:solidFill>
          <w14:schemeClr w14:val="tx1">
            <w14:lumMod w14:val="85000"/>
            <w14:lumOff w14:val="15000"/>
          </w14:schemeClr>
        </w14:solidFill>
      </w14:textFill>
    </w:rPr>
  </w:style>
  <w:style w:type="paragraph" w:styleId="10">
    <w:name w:val="heading 9"/>
    <w:basedOn w:val="1"/>
    <w:next w:val="1"/>
    <w:link w:val="39"/>
    <w:semiHidden/>
    <w:unhideWhenUsed/>
    <w:qFormat/>
    <w:uiPriority w:val="9"/>
    <w:pPr>
      <w:keepNext/>
      <w:keepLines/>
      <w:outlineLvl w:val="8"/>
    </w:pPr>
    <w:rPr>
      <w:rFonts w:eastAsiaTheme="majorEastAsia" w:cstheme="majorBidi"/>
      <w:color w:val="262626" w:themeColor="text1" w:themeTint="D9"/>
      <w14:textFill>
        <w14:solidFill>
          <w14:schemeClr w14:val="tx1">
            <w14:lumMod w14:val="85000"/>
            <w14:lumOff w14:val="15000"/>
          </w14:schemeClr>
        </w14:solidFill>
      </w14:textFill>
    </w:rPr>
  </w:style>
  <w:style w:type="character" w:default="1" w:styleId="11">
    <w:name w:val="Default Paragraph Font"/>
    <w:unhideWhenUsed/>
    <w:uiPriority w:val="1"/>
  </w:style>
  <w:style w:type="table" w:default="1" w:styleId="12">
    <w:name w:val="Normal Table"/>
    <w:semiHidden/>
    <w:unhideWhenUsed/>
    <w:uiPriority w:val="99"/>
    <w:tblPr>
      <w:tblCellMar>
        <w:top w:w="0" w:type="dxa"/>
        <w:left w:w="108" w:type="dxa"/>
        <w:bottom w:w="0" w:type="dxa"/>
        <w:right w:w="108" w:type="dxa"/>
      </w:tblCellMar>
    </w:tblPr>
  </w:style>
  <w:style w:type="character" w:styleId="13">
    <w:name w:val="Strong"/>
    <w:basedOn w:val="11"/>
    <w:qFormat/>
    <w:uiPriority w:val="22"/>
    <w:rPr>
      <w:b/>
      <w:bCs/>
    </w:rPr>
  </w:style>
  <w:style w:type="character" w:styleId="14">
    <w:name w:val="annotation reference"/>
    <w:basedOn w:val="11"/>
    <w:unhideWhenUsed/>
    <w:qFormat/>
    <w:uiPriority w:val="0"/>
    <w:rPr>
      <w:sz w:val="16"/>
      <w:szCs w:val="16"/>
    </w:rPr>
  </w:style>
  <w:style w:type="character" w:styleId="15">
    <w:name w:val="Emphasis"/>
    <w:basedOn w:val="11"/>
    <w:qFormat/>
    <w:uiPriority w:val="20"/>
    <w:rPr>
      <w:i/>
      <w:iCs/>
    </w:rPr>
  </w:style>
  <w:style w:type="character" w:styleId="16">
    <w:name w:val="Hyperlink"/>
    <w:basedOn w:val="11"/>
    <w:unhideWhenUsed/>
    <w:qFormat/>
    <w:uiPriority w:val="99"/>
    <w:rPr>
      <w:color w:val="0563C1" w:themeColor="hyperlink"/>
      <w:u w:val="single"/>
      <w14:textFill>
        <w14:solidFill>
          <w14:schemeClr w14:val="hlink"/>
        </w14:solidFill>
      </w14:textFill>
    </w:rPr>
  </w:style>
  <w:style w:type="character" w:styleId="17">
    <w:name w:val="page number"/>
    <w:basedOn w:val="11"/>
    <w:unhideWhenUsed/>
    <w:qFormat/>
    <w:uiPriority w:val="99"/>
  </w:style>
  <w:style w:type="paragraph" w:styleId="18">
    <w:name w:val="List"/>
    <w:basedOn w:val="19"/>
    <w:uiPriority w:val="0"/>
  </w:style>
  <w:style w:type="paragraph" w:styleId="19">
    <w:name w:val="Body Text"/>
    <w:basedOn w:val="1"/>
    <w:link w:val="50"/>
    <w:qFormat/>
    <w:uiPriority w:val="1"/>
    <w:rPr>
      <w:sz w:val="21"/>
      <w:szCs w:val="21"/>
    </w:rPr>
  </w:style>
  <w:style w:type="paragraph" w:styleId="20">
    <w:name w:val="annotation text"/>
    <w:basedOn w:val="1"/>
    <w:link w:val="59"/>
    <w:semiHidden/>
    <w:unhideWhenUsed/>
    <w:qFormat/>
    <w:uiPriority w:val="99"/>
    <w:rPr>
      <w:sz w:val="20"/>
      <w:szCs w:val="20"/>
    </w:rPr>
  </w:style>
  <w:style w:type="paragraph" w:styleId="21">
    <w:name w:val="Title"/>
    <w:basedOn w:val="1"/>
    <w:next w:val="19"/>
    <w:link w:val="40"/>
    <w:qFormat/>
    <w:uiPriority w:val="10"/>
    <w:pPr>
      <w:contextualSpacing/>
      <w:outlineLvl w:val="0"/>
    </w:pPr>
    <w:rPr>
      <w:rFonts w:eastAsiaTheme="majorEastAsia" w:cstheme="majorBidi"/>
      <w:b/>
      <w:spacing w:val="-10"/>
      <w:kern w:val="2"/>
      <w:sz w:val="24"/>
      <w:szCs w:val="56"/>
    </w:rPr>
  </w:style>
  <w:style w:type="paragraph" w:styleId="22">
    <w:name w:val="Normal (Web)"/>
    <w:basedOn w:val="1"/>
    <w:semiHidden/>
    <w:unhideWhenUsed/>
    <w:qFormat/>
    <w:uiPriority w:val="99"/>
    <w:rPr>
      <w:rFonts w:ascii="Times New Roman" w:hAnsi="Times New Roman" w:cs="Times New Roman"/>
      <w:sz w:val="24"/>
      <w:szCs w:val="24"/>
    </w:rPr>
  </w:style>
  <w:style w:type="paragraph" w:styleId="23">
    <w:name w:val="Signature"/>
    <w:basedOn w:val="1"/>
    <w:uiPriority w:val="0"/>
    <w:pPr>
      <w:suppressLineNumbers/>
    </w:pPr>
  </w:style>
  <w:style w:type="paragraph" w:styleId="24">
    <w:name w:val="index heading"/>
    <w:basedOn w:val="21"/>
    <w:uiPriority w:val="0"/>
  </w:style>
  <w:style w:type="paragraph" w:styleId="25">
    <w:name w:val="header"/>
    <w:basedOn w:val="1"/>
    <w:link w:val="48"/>
    <w:unhideWhenUsed/>
    <w:uiPriority w:val="99"/>
    <w:pPr>
      <w:tabs>
        <w:tab w:val="center" w:pos="4252"/>
        <w:tab w:val="right" w:pos="8504"/>
      </w:tabs>
    </w:pPr>
  </w:style>
  <w:style w:type="paragraph" w:styleId="26">
    <w:name w:val="footer"/>
    <w:basedOn w:val="1"/>
    <w:link w:val="49"/>
    <w:unhideWhenUsed/>
    <w:uiPriority w:val="99"/>
    <w:pPr>
      <w:tabs>
        <w:tab w:val="center" w:pos="4252"/>
        <w:tab w:val="right" w:pos="8504"/>
      </w:tabs>
    </w:pPr>
  </w:style>
  <w:style w:type="paragraph" w:styleId="27">
    <w:name w:val="caption"/>
    <w:basedOn w:val="1"/>
    <w:qFormat/>
    <w:uiPriority w:val="0"/>
    <w:pPr>
      <w:suppressLineNumbers/>
      <w:spacing w:before="120" w:after="120"/>
    </w:pPr>
    <w:rPr>
      <w:i/>
      <w:iCs/>
      <w:sz w:val="24"/>
      <w:szCs w:val="24"/>
    </w:rPr>
  </w:style>
  <w:style w:type="paragraph" w:styleId="28">
    <w:name w:val="Subtitle"/>
    <w:basedOn w:val="1"/>
    <w:next w:val="1"/>
    <w:link w:val="41"/>
    <w:qFormat/>
    <w:uiPriority w:val="11"/>
    <w:pPr>
      <w:spacing w:line="360" w:lineRule="auto"/>
      <w:jc w:val="both"/>
      <w:outlineLvl w:val="0"/>
    </w:pPr>
    <w:rPr>
      <w:b/>
      <w:caps/>
      <w:color w:val="000000" w:themeColor="text1"/>
      <w:sz w:val="24"/>
      <w:szCs w:val="28"/>
      <w14:textFill>
        <w14:solidFill>
          <w14:schemeClr w14:val="tx1"/>
        </w14:solidFill>
      </w14:textFill>
    </w:rPr>
  </w:style>
  <w:style w:type="paragraph" w:styleId="29">
    <w:name w:val="toc 1"/>
    <w:basedOn w:val="1"/>
    <w:next w:val="1"/>
    <w:autoRedefine/>
    <w:unhideWhenUsed/>
    <w:uiPriority w:val="39"/>
    <w:pPr>
      <w:tabs>
        <w:tab w:val="right" w:leader="dot" w:pos="10366"/>
      </w:tabs>
      <w:spacing w:after="100" w:line="360" w:lineRule="auto"/>
    </w:pPr>
  </w:style>
  <w:style w:type="table" w:styleId="30">
    <w:name w:val="Table Grid"/>
    <w:basedOn w:val="12"/>
    <w:qFormat/>
    <w:uiPriority w:val="39"/>
    <w:tblPr>
      <w:tblBorders>
        <w:top w:val="double" w:color="auto" w:sz="4" w:space="0"/>
        <w:left w:val="double" w:color="auto" w:sz="4" w:space="0"/>
        <w:bottom w:val="double" w:color="auto" w:sz="4" w:space="0"/>
        <w:right w:val="double" w:color="auto" w:sz="4" w:space="0"/>
        <w:insideH w:val="double" w:color="auto" w:sz="4" w:space="0"/>
        <w:insideV w:val="double" w:color="auto" w:sz="4" w:space="0"/>
      </w:tblBorders>
    </w:tblPr>
  </w:style>
  <w:style w:type="character" w:customStyle="1" w:styleId="31">
    <w:name w:val="Título 1 Char"/>
    <w:basedOn w:val="11"/>
    <w:link w:val="2"/>
    <w:qFormat/>
    <w:uiPriority w:val="9"/>
    <w:rPr>
      <w:rFonts w:asciiTheme="majorHAnsi" w:hAnsiTheme="majorHAnsi" w:eastAsiaTheme="majorEastAsia" w:cstheme="majorBidi"/>
      <w:color w:val="2F5597" w:themeColor="accent1" w:themeShade="BF"/>
      <w:sz w:val="40"/>
      <w:szCs w:val="40"/>
    </w:rPr>
  </w:style>
  <w:style w:type="character" w:customStyle="1" w:styleId="32">
    <w:name w:val="Título 2 Char"/>
    <w:basedOn w:val="11"/>
    <w:link w:val="3"/>
    <w:semiHidden/>
    <w:qFormat/>
    <w:uiPriority w:val="9"/>
    <w:rPr>
      <w:rFonts w:asciiTheme="majorHAnsi" w:hAnsiTheme="majorHAnsi" w:eastAsiaTheme="majorEastAsia" w:cstheme="majorBidi"/>
      <w:color w:val="2F5597" w:themeColor="accent1" w:themeShade="BF"/>
      <w:sz w:val="32"/>
      <w:szCs w:val="32"/>
    </w:rPr>
  </w:style>
  <w:style w:type="character" w:customStyle="1" w:styleId="33">
    <w:name w:val="Título 3 Char"/>
    <w:basedOn w:val="11"/>
    <w:link w:val="4"/>
    <w:semiHidden/>
    <w:qFormat/>
    <w:uiPriority w:val="9"/>
    <w:rPr>
      <w:rFonts w:eastAsiaTheme="majorEastAsia" w:cstheme="majorBidi"/>
      <w:color w:val="2F5597" w:themeColor="accent1" w:themeShade="BF"/>
      <w:sz w:val="28"/>
      <w:szCs w:val="28"/>
    </w:rPr>
  </w:style>
  <w:style w:type="character" w:customStyle="1" w:styleId="34">
    <w:name w:val="Título 4 Char"/>
    <w:basedOn w:val="11"/>
    <w:link w:val="5"/>
    <w:semiHidden/>
    <w:qFormat/>
    <w:uiPriority w:val="9"/>
    <w:rPr>
      <w:rFonts w:eastAsiaTheme="majorEastAsia" w:cstheme="majorBidi"/>
      <w:i/>
      <w:iCs/>
      <w:color w:val="2F5597" w:themeColor="accent1" w:themeShade="BF"/>
    </w:rPr>
  </w:style>
  <w:style w:type="character" w:customStyle="1" w:styleId="35">
    <w:name w:val="Título 5 Char"/>
    <w:basedOn w:val="11"/>
    <w:link w:val="6"/>
    <w:semiHidden/>
    <w:qFormat/>
    <w:uiPriority w:val="9"/>
    <w:rPr>
      <w:rFonts w:eastAsiaTheme="majorEastAsia" w:cstheme="majorBidi"/>
      <w:color w:val="2F5597" w:themeColor="accent1" w:themeShade="BF"/>
    </w:rPr>
  </w:style>
  <w:style w:type="character" w:customStyle="1" w:styleId="36">
    <w:name w:val="Título 6 Char"/>
    <w:basedOn w:val="11"/>
    <w:link w:val="7"/>
    <w:semiHidden/>
    <w:qFormat/>
    <w:uiPriority w:val="9"/>
    <w:rPr>
      <w:rFonts w:eastAsiaTheme="majorEastAsia" w:cstheme="majorBidi"/>
      <w:i/>
      <w:iCs/>
      <w:color w:val="595959" w:themeColor="text1" w:themeTint="A6"/>
      <w14:textFill>
        <w14:solidFill>
          <w14:schemeClr w14:val="tx1">
            <w14:lumMod w14:val="65000"/>
            <w14:lumOff w14:val="35000"/>
          </w14:schemeClr>
        </w14:solidFill>
      </w14:textFill>
    </w:rPr>
  </w:style>
  <w:style w:type="character" w:customStyle="1" w:styleId="37">
    <w:name w:val="Título 7 Char"/>
    <w:basedOn w:val="11"/>
    <w:link w:val="8"/>
    <w:semiHidden/>
    <w:qFormat/>
    <w:uiPriority w:val="9"/>
    <w:rPr>
      <w:rFonts w:eastAsiaTheme="majorEastAsia" w:cstheme="majorBidi"/>
      <w:color w:val="595959" w:themeColor="text1" w:themeTint="A6"/>
      <w14:textFill>
        <w14:solidFill>
          <w14:schemeClr w14:val="tx1">
            <w14:lumMod w14:val="65000"/>
            <w14:lumOff w14:val="35000"/>
          </w14:schemeClr>
        </w14:solidFill>
      </w14:textFill>
    </w:rPr>
  </w:style>
  <w:style w:type="character" w:customStyle="1" w:styleId="38">
    <w:name w:val="Título 8 Char"/>
    <w:basedOn w:val="11"/>
    <w:link w:val="9"/>
    <w:semiHidden/>
    <w:qFormat/>
    <w:uiPriority w:val="9"/>
    <w:rPr>
      <w:rFonts w:eastAsiaTheme="majorEastAsia" w:cstheme="majorBidi"/>
      <w:i/>
      <w:iCs/>
      <w:color w:val="262626" w:themeColor="text1" w:themeTint="D9"/>
      <w14:textFill>
        <w14:solidFill>
          <w14:schemeClr w14:val="tx1">
            <w14:lumMod w14:val="85000"/>
            <w14:lumOff w14:val="15000"/>
          </w14:schemeClr>
        </w14:solidFill>
      </w14:textFill>
    </w:rPr>
  </w:style>
  <w:style w:type="character" w:customStyle="1" w:styleId="39">
    <w:name w:val="Título 9 Char"/>
    <w:basedOn w:val="11"/>
    <w:link w:val="10"/>
    <w:semiHidden/>
    <w:qFormat/>
    <w:uiPriority w:val="9"/>
    <w:rPr>
      <w:rFonts w:eastAsiaTheme="majorEastAsia" w:cstheme="majorBidi"/>
      <w:color w:val="262626" w:themeColor="text1" w:themeTint="D9"/>
      <w14:textFill>
        <w14:solidFill>
          <w14:schemeClr w14:val="tx1">
            <w14:lumMod w14:val="85000"/>
            <w14:lumOff w14:val="15000"/>
          </w14:schemeClr>
        </w14:solidFill>
      </w14:textFill>
    </w:rPr>
  </w:style>
  <w:style w:type="character" w:customStyle="1" w:styleId="40">
    <w:name w:val="Título Char"/>
    <w:basedOn w:val="11"/>
    <w:link w:val="21"/>
    <w:qFormat/>
    <w:uiPriority w:val="10"/>
    <w:rPr>
      <w:rFonts w:eastAsiaTheme="majorEastAsia" w:cstheme="majorBidi"/>
      <w:b/>
      <w:spacing w:val="-10"/>
      <w:kern w:val="2"/>
      <w:sz w:val="24"/>
      <w:szCs w:val="56"/>
      <w:lang w:eastAsia="en-US"/>
    </w:rPr>
  </w:style>
  <w:style w:type="character" w:customStyle="1" w:styleId="41">
    <w:name w:val="Subtítulo Char"/>
    <w:basedOn w:val="11"/>
    <w:link w:val="28"/>
    <w:qFormat/>
    <w:uiPriority w:val="11"/>
    <w:rPr>
      <w:b/>
      <w:caps/>
      <w:color w:val="000000" w:themeColor="text1"/>
      <w:sz w:val="24"/>
      <w:szCs w:val="28"/>
      <w:lang w:val="pt-PT" w:eastAsia="en-US"/>
      <w14:textFill>
        <w14:solidFill>
          <w14:schemeClr w14:val="tx1"/>
        </w14:solidFill>
      </w14:textFill>
    </w:rPr>
  </w:style>
  <w:style w:type="character" w:customStyle="1" w:styleId="42">
    <w:name w:val="Citação Char"/>
    <w:basedOn w:val="11"/>
    <w:link w:val="43"/>
    <w:qFormat/>
    <w:uiPriority w:val="29"/>
    <w:rPr>
      <w:i/>
      <w:iCs/>
      <w:color w:val="404040" w:themeColor="text1" w:themeTint="BF"/>
      <w14:textFill>
        <w14:solidFill>
          <w14:schemeClr w14:val="tx1">
            <w14:lumMod w14:val="75000"/>
            <w14:lumOff w14:val="25000"/>
          </w14:schemeClr>
        </w14:solidFill>
      </w14:textFill>
    </w:rPr>
  </w:style>
  <w:style w:type="paragraph" w:styleId="43">
    <w:name w:val="Quote"/>
    <w:basedOn w:val="1"/>
    <w:next w:val="1"/>
    <w:link w:val="42"/>
    <w:qFormat/>
    <w:uiPriority w:val="29"/>
    <w:pPr>
      <w:spacing w:before="160"/>
      <w:jc w:val="center"/>
    </w:pPr>
    <w:rPr>
      <w:i/>
      <w:iCs/>
      <w:color w:val="404040" w:themeColor="text1" w:themeTint="BF"/>
      <w14:textFill>
        <w14:solidFill>
          <w14:schemeClr w14:val="tx1">
            <w14:lumMod w14:val="75000"/>
            <w14:lumOff w14:val="25000"/>
          </w14:schemeClr>
        </w14:solidFill>
      </w14:textFill>
    </w:rPr>
  </w:style>
  <w:style w:type="character" w:customStyle="1" w:styleId="44">
    <w:name w:val="Ênfase Intensa1"/>
    <w:basedOn w:val="11"/>
    <w:qFormat/>
    <w:uiPriority w:val="21"/>
    <w:rPr>
      <w:i/>
      <w:iCs/>
      <w:color w:val="2F5597" w:themeColor="accent1" w:themeShade="BF"/>
    </w:rPr>
  </w:style>
  <w:style w:type="character" w:customStyle="1" w:styleId="45">
    <w:name w:val="Citação Intensa Char"/>
    <w:basedOn w:val="11"/>
    <w:link w:val="46"/>
    <w:qFormat/>
    <w:uiPriority w:val="30"/>
    <w:rPr>
      <w:i/>
      <w:iCs/>
      <w:color w:val="2F5597" w:themeColor="accent1" w:themeShade="BF"/>
    </w:rPr>
  </w:style>
  <w:style w:type="paragraph" w:styleId="46">
    <w:name w:val="Intense Quote"/>
    <w:basedOn w:val="1"/>
    <w:next w:val="1"/>
    <w:link w:val="45"/>
    <w:qFormat/>
    <w:uiPriority w:val="30"/>
    <w:pPr>
      <w:pBdr>
        <w:top w:val="single" w:color="2F5496" w:sz="4" w:space="10"/>
        <w:bottom w:val="single" w:color="2F5496" w:sz="4" w:space="10"/>
      </w:pBdr>
      <w:spacing w:before="360" w:after="360"/>
      <w:ind w:left="864" w:right="864"/>
      <w:jc w:val="center"/>
    </w:pPr>
    <w:rPr>
      <w:i/>
      <w:iCs/>
      <w:color w:val="2F5597" w:themeColor="accent1" w:themeShade="BF"/>
    </w:rPr>
  </w:style>
  <w:style w:type="character" w:customStyle="1" w:styleId="47">
    <w:name w:val="Referência Intensa1"/>
    <w:basedOn w:val="11"/>
    <w:qFormat/>
    <w:uiPriority w:val="32"/>
    <w:rPr>
      <w:b/>
      <w:bCs/>
      <w:smallCaps/>
      <w:color w:val="2F5597" w:themeColor="accent1" w:themeShade="BF"/>
      <w:spacing w:val="5"/>
    </w:rPr>
  </w:style>
  <w:style w:type="character" w:customStyle="1" w:styleId="48">
    <w:name w:val="Cabeçalho Char"/>
    <w:basedOn w:val="11"/>
    <w:link w:val="25"/>
    <w:qFormat/>
    <w:uiPriority w:val="99"/>
  </w:style>
  <w:style w:type="character" w:customStyle="1" w:styleId="49">
    <w:name w:val="Rodapé Char"/>
    <w:basedOn w:val="11"/>
    <w:link w:val="26"/>
    <w:qFormat/>
    <w:uiPriority w:val="99"/>
  </w:style>
  <w:style w:type="character" w:customStyle="1" w:styleId="50">
    <w:name w:val="Corpo de texto Char"/>
    <w:basedOn w:val="11"/>
    <w:link w:val="19"/>
    <w:qFormat/>
    <w:uiPriority w:val="1"/>
    <w:rPr>
      <w:rFonts w:ascii="Arial" w:hAnsi="Arial" w:eastAsia="Arial" w:cs="Arial"/>
      <w:kern w:val="0"/>
      <w:sz w:val="21"/>
      <w:szCs w:val="21"/>
      <w:lang w:val="pt-PT"/>
    </w:rPr>
  </w:style>
  <w:style w:type="character" w:customStyle="1" w:styleId="51">
    <w:name w:val="Link da Internet"/>
    <w:basedOn w:val="11"/>
    <w:unhideWhenUsed/>
    <w:uiPriority w:val="99"/>
    <w:rPr>
      <w:color w:val="0563C1" w:themeColor="hyperlink"/>
      <w:u w:val="single"/>
      <w14:textFill>
        <w14:solidFill>
          <w14:schemeClr w14:val="hlink"/>
        </w14:solidFill>
      </w14:textFill>
    </w:rPr>
  </w:style>
  <w:style w:type="character" w:customStyle="1" w:styleId="52">
    <w:name w:val="Menção Pendente1"/>
    <w:basedOn w:val="11"/>
    <w:semiHidden/>
    <w:unhideWhenUsed/>
    <w:qFormat/>
    <w:uiPriority w:val="99"/>
    <w:rPr>
      <w:color w:val="605E5C"/>
      <w:shd w:val="clear" w:color="auto" w:fill="E1DFDD"/>
    </w:rPr>
  </w:style>
  <w:style w:type="character" w:customStyle="1" w:styleId="53">
    <w:name w:val="Link da internet visitado"/>
    <w:basedOn w:val="11"/>
    <w:semiHidden/>
    <w:unhideWhenUsed/>
    <w:uiPriority w:val="99"/>
    <w:rPr>
      <w:color w:val="954F72" w:themeColor="followedHyperlink"/>
      <w:u w:val="single"/>
      <w14:textFill>
        <w14:solidFill>
          <w14:schemeClr w14:val="folHlink"/>
        </w14:solidFill>
      </w14:textFill>
    </w:rPr>
  </w:style>
  <w:style w:type="character" w:styleId="54">
    <w:name w:val="Placeholder Text"/>
    <w:basedOn w:val="11"/>
    <w:semiHidden/>
    <w:qFormat/>
    <w:uiPriority w:val="99"/>
    <w:rPr>
      <w:color w:val="666666"/>
    </w:rPr>
  </w:style>
  <w:style w:type="character" w:customStyle="1" w:styleId="55">
    <w:name w:val="WW8Num30z1"/>
    <w:qFormat/>
    <w:uiPriority w:val="0"/>
    <w:rPr>
      <w:rFonts w:ascii="Courier New" w:hAnsi="Courier New" w:cs="Courier New"/>
    </w:rPr>
  </w:style>
  <w:style w:type="character" w:customStyle="1" w:styleId="56">
    <w:name w:val="Nível 02 Char"/>
    <w:basedOn w:val="11"/>
    <w:link w:val="57"/>
    <w:qFormat/>
    <w:uiPriority w:val="0"/>
    <w:rPr>
      <w:iCs/>
      <w:sz w:val="20"/>
      <w:szCs w:val="20"/>
      <w:lang w:eastAsia="pt-BR"/>
    </w:rPr>
  </w:style>
  <w:style w:type="paragraph" w:customStyle="1" w:styleId="57">
    <w:name w:val="Nível 02"/>
    <w:basedOn w:val="58"/>
    <w:link w:val="56"/>
    <w:autoRedefine/>
    <w:qFormat/>
    <w:uiPriority w:val="0"/>
    <w:pPr>
      <w:shd w:val="clear" w:color="auto" w:fill="auto"/>
      <w:tabs>
        <w:tab w:val="left" w:pos="0"/>
      </w:tabs>
    </w:pPr>
    <w:rPr>
      <w:i w:val="0"/>
      <w:iCs/>
      <w:color w:val="auto"/>
    </w:rPr>
  </w:style>
  <w:style w:type="paragraph" w:customStyle="1" w:styleId="58">
    <w:name w:val="Nivel 2-Opcional"/>
    <w:basedOn w:val="1"/>
    <w:autoRedefine/>
    <w:qFormat/>
    <w:uiPriority w:val="0"/>
    <w:pPr>
      <w:widowControl/>
      <w:numPr>
        <w:ilvl w:val="1"/>
        <w:numId w:val="1"/>
      </w:numPr>
      <w:shd w:val="clear" w:color="auto" w:fill="7B7B7B" w:themeFill="accent3" w:themeFillShade="BF"/>
      <w:suppressAutoHyphens w:val="0"/>
      <w:spacing w:before="120" w:after="120" w:line="276" w:lineRule="auto"/>
      <w:ind w:left="0" w:firstLine="0"/>
      <w:jc w:val="both"/>
    </w:pPr>
    <w:rPr>
      <w:i/>
      <w:color w:val="FF0000"/>
      <w:sz w:val="20"/>
      <w:szCs w:val="20"/>
      <w:lang w:eastAsia="pt-BR"/>
    </w:rPr>
  </w:style>
  <w:style w:type="character" w:customStyle="1" w:styleId="59">
    <w:name w:val="Texto de comentário Char"/>
    <w:basedOn w:val="11"/>
    <w:link w:val="20"/>
    <w:semiHidden/>
    <w:qFormat/>
    <w:uiPriority w:val="99"/>
    <w:rPr>
      <w:sz w:val="20"/>
      <w:szCs w:val="20"/>
      <w:lang w:eastAsia="en-US"/>
    </w:rPr>
  </w:style>
  <w:style w:type="character" w:customStyle="1" w:styleId="60">
    <w:name w:val="Vínculo de índice"/>
    <w:qFormat/>
    <w:uiPriority w:val="0"/>
  </w:style>
  <w:style w:type="character" w:customStyle="1" w:styleId="61">
    <w:name w:val="Ênfase forte"/>
    <w:qFormat/>
    <w:uiPriority w:val="0"/>
    <w:rPr>
      <w:b/>
      <w:bCs/>
    </w:rPr>
  </w:style>
  <w:style w:type="paragraph" w:customStyle="1" w:styleId="62">
    <w:name w:val="Índice"/>
    <w:basedOn w:val="1"/>
    <w:qFormat/>
    <w:uiPriority w:val="0"/>
    <w:pPr>
      <w:suppressLineNumbers/>
    </w:pPr>
  </w:style>
  <w:style w:type="paragraph" w:styleId="63">
    <w:name w:val="List Paragraph"/>
    <w:basedOn w:val="1"/>
    <w:qFormat/>
    <w:uiPriority w:val="34"/>
    <w:pPr>
      <w:ind w:left="720"/>
      <w:contextualSpacing/>
    </w:pPr>
  </w:style>
  <w:style w:type="paragraph" w:customStyle="1" w:styleId="64">
    <w:name w:val="Cabeçalho e Rodapé"/>
    <w:basedOn w:val="1"/>
    <w:qFormat/>
    <w:uiPriority w:val="0"/>
  </w:style>
  <w:style w:type="paragraph" w:customStyle="1" w:styleId="65">
    <w:name w:val="Revisão1"/>
    <w:semiHidden/>
    <w:qFormat/>
    <w:uiPriority w:val="99"/>
    <w:pPr>
      <w:suppressAutoHyphens/>
    </w:pPr>
    <w:rPr>
      <w:rFonts w:ascii="Arial" w:hAnsi="Arial" w:eastAsia="Arial" w:cs="Arial"/>
      <w:sz w:val="22"/>
      <w:szCs w:val="22"/>
      <w:lang w:val="pt-PT" w:eastAsia="en-US" w:bidi="ar-SA"/>
    </w:rPr>
  </w:style>
  <w:style w:type="paragraph" w:customStyle="1" w:styleId="66">
    <w:name w:val="Conteúdo do quadro"/>
    <w:basedOn w:val="1"/>
    <w:qFormat/>
    <w:uiPriority w:val="0"/>
  </w:style>
  <w:style w:type="paragraph" w:customStyle="1" w:styleId="67">
    <w:name w:val="Bloco de citação"/>
    <w:basedOn w:val="1"/>
    <w:qFormat/>
    <w:uiPriority w:val="0"/>
    <w:pPr>
      <w:spacing w:after="283"/>
      <w:ind w:left="567" w:right="567"/>
    </w:pPr>
  </w:style>
  <w:style w:type="paragraph" w:customStyle="1" w:styleId="68">
    <w:name w:val="Figura"/>
    <w:basedOn w:val="27"/>
    <w:qFormat/>
    <w:uiPriority w:val="0"/>
  </w:style>
  <w:style w:type="paragraph" w:customStyle="1" w:styleId="69">
    <w:name w:val="Cabeçalho do Sumário1"/>
    <w:basedOn w:val="2"/>
    <w:next w:val="1"/>
    <w:unhideWhenUsed/>
    <w:qFormat/>
    <w:uiPriority w:val="39"/>
    <w:pPr>
      <w:widowControl/>
      <w:suppressAutoHyphens w:val="0"/>
      <w:spacing w:before="240" w:after="0" w:line="259" w:lineRule="auto"/>
      <w:outlineLvl w:val="9"/>
    </w:pPr>
    <w:rPr>
      <w:sz w:val="32"/>
      <w:szCs w:val="32"/>
      <w:lang w:eastAsia="zh-CN"/>
    </w:rPr>
  </w:style>
  <w:style w:type="paragraph" w:styleId="70">
    <w:name w:val="No Spacing"/>
    <w:qFormat/>
    <w:uiPriority w:val="1"/>
    <w:pPr>
      <w:widowControl w:val="0"/>
      <w:suppressAutoHyphens/>
    </w:pPr>
    <w:rPr>
      <w:rFonts w:ascii="Arial" w:hAnsi="Arial" w:eastAsia="Arial" w:cs="Arial"/>
      <w:sz w:val="22"/>
      <w:szCs w:val="22"/>
      <w:lang w:val="pt-PT" w:eastAsia="en-US" w:bidi="ar-SA"/>
    </w:rPr>
  </w:style>
  <w:style w:type="paragraph" w:customStyle="1" w:styleId="71">
    <w:name w:val="Estilo2"/>
    <w:basedOn w:val="1"/>
    <w:qFormat/>
    <w:uiPriority w:val="0"/>
    <w:pPr>
      <w:widowControl/>
      <w:ind w:left="2694" w:hanging="284"/>
      <w:jc w:val="both"/>
    </w:pPr>
    <w:rPr>
      <w:rFonts w:ascii="Times New Roman" w:hAnsi="Times New Roman" w:eastAsia="Times New Roman" w:cs="Times New Roman"/>
      <w:color w:val="000000"/>
      <w:sz w:val="24"/>
      <w:szCs w:val="20"/>
      <w:lang w:eastAsia="zh-CN"/>
    </w:rPr>
  </w:style>
  <w:style w:type="paragraph" w:customStyle="1" w:styleId="72">
    <w:name w:val="Nivel 01"/>
    <w:basedOn w:val="63"/>
    <w:next w:val="1"/>
    <w:autoRedefine/>
    <w:qFormat/>
    <w:uiPriority w:val="0"/>
    <w:pPr>
      <w:widowControl/>
      <w:numPr>
        <w:ilvl w:val="0"/>
        <w:numId w:val="1"/>
      </w:numPr>
      <w:suppressAutoHyphens w:val="0"/>
      <w:spacing w:before="360" w:after="120" w:line="276" w:lineRule="auto"/>
      <w:ind w:left="357" w:hanging="357"/>
      <w:contextualSpacing w:val="0"/>
      <w:jc w:val="both"/>
      <w:outlineLvl w:val="0"/>
    </w:pPr>
    <w:rPr>
      <w:b/>
      <w:iCs/>
      <w:sz w:val="20"/>
      <w:szCs w:val="20"/>
      <w:lang w:eastAsia="pt-BR"/>
    </w:rPr>
  </w:style>
  <w:style w:type="paragraph" w:customStyle="1" w:styleId="73">
    <w:name w:val="Nivel 5"/>
    <w:basedOn w:val="74"/>
    <w:autoRedefine/>
    <w:qFormat/>
    <w:uiPriority w:val="0"/>
    <w:pPr>
      <w:tabs>
        <w:tab w:val="left" w:pos="0"/>
      </w:tabs>
      <w:ind w:left="851"/>
    </w:pPr>
  </w:style>
  <w:style w:type="paragraph" w:customStyle="1" w:styleId="74">
    <w:name w:val="Nível 4-R"/>
    <w:basedOn w:val="1"/>
    <w:autoRedefine/>
    <w:qFormat/>
    <w:uiPriority w:val="0"/>
    <w:pPr>
      <w:widowControl/>
      <w:tabs>
        <w:tab w:val="left" w:pos="0"/>
      </w:tabs>
      <w:suppressAutoHyphens w:val="0"/>
      <w:spacing w:before="120" w:after="120" w:line="276" w:lineRule="auto"/>
      <w:ind w:left="567"/>
      <w:jc w:val="both"/>
    </w:pPr>
    <w:rPr>
      <w:rFonts w:eastAsiaTheme="minorEastAsia"/>
      <w:bCs/>
      <w:i/>
      <w:color w:val="FF0000"/>
      <w:sz w:val="20"/>
      <w:szCs w:val="20"/>
      <w:lang w:eastAsia="pt-BR"/>
    </w:rPr>
  </w:style>
  <w:style w:type="paragraph" w:customStyle="1" w:styleId="75">
    <w:name w:val="Nivel 3"/>
    <w:basedOn w:val="1"/>
    <w:qFormat/>
    <w:uiPriority w:val="0"/>
    <w:pPr>
      <w:widowControl/>
      <w:numPr>
        <w:ilvl w:val="2"/>
        <w:numId w:val="1"/>
      </w:numPr>
      <w:suppressAutoHyphens w:val="0"/>
      <w:spacing w:before="120" w:after="120" w:line="276" w:lineRule="auto"/>
      <w:ind w:left="284" w:firstLine="0"/>
      <w:jc w:val="both"/>
    </w:pPr>
    <w:rPr>
      <w:rFonts w:cs="Tahoma" w:eastAsiaTheme="minorEastAsia"/>
      <w:sz w:val="20"/>
      <w:szCs w:val="24"/>
      <w:lang w:eastAsia="pt-BR"/>
    </w:rPr>
  </w:style>
  <w:style w:type="paragraph" w:customStyle="1" w:styleId="76">
    <w:name w:val="Texto de comentário1"/>
    <w:basedOn w:val="1"/>
    <w:next w:val="20"/>
    <w:unhideWhenUsed/>
    <w:qFormat/>
    <w:uiPriority w:val="99"/>
    <w:pPr>
      <w:widowControl/>
      <w:suppressAutoHyphens w:val="0"/>
    </w:pPr>
    <w:rPr>
      <w:rFonts w:ascii="Ecofont_Spranq_eco_Sans" w:hAnsi="Ecofont_Spranq_eco_Sans" w:eastAsia="Calibri" w:cs="Tahoma"/>
      <w:kern w:val="2"/>
      <w:lang w:eastAsia="pt-BR"/>
    </w:rPr>
  </w:style>
  <w:style w:type="table" w:customStyle="1" w:styleId="77">
    <w:name w:val="Table Normal"/>
    <w:qFormat/>
    <w:uiPriority w:val="0"/>
    <w:tblPr>
      <w:tblCellMar>
        <w:top w:w="0" w:type="dxa"/>
        <w:left w:w="0" w:type="dxa"/>
        <w:bottom w:w="0" w:type="dxa"/>
        <w:right w:w="0" w:type="dxa"/>
      </w:tblCellMar>
    </w:tblPr>
  </w:style>
  <w:style w:type="table" w:customStyle="1" w:styleId="78">
    <w:name w:val="Estilo1"/>
    <w:basedOn w:val="12"/>
    <w:qFormat/>
    <w:uiPriority w:val="99"/>
  </w:style>
  <w:style w:type="table" w:customStyle="1" w:styleId="79">
    <w:name w:val="Tabela de Grade Clara1"/>
    <w:basedOn w:val="12"/>
    <w:qFormat/>
    <w:uiPriority w:val="4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style>
  <w:style w:type="paragraph" w:customStyle="1" w:styleId="80">
    <w:name w:val="Standard"/>
    <w:qFormat/>
    <w:uiPriority w:val="0"/>
    <w:pPr>
      <w:suppressAutoHyphens/>
      <w:textAlignment w:val="baseline"/>
    </w:pPr>
    <w:rPr>
      <w:rFonts w:ascii="Liberation Serif" w:hAnsi="Liberation Serif" w:eastAsia="SimSun;宋体" w:cs="Mangal"/>
      <w:kern w:val="2"/>
      <w:sz w:val="24"/>
      <w:szCs w:val="24"/>
      <w:lang w:val="en-US" w:eastAsia="zh-CN" w:bidi="hi-IN"/>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customXml" Target="../customXml/item3.xml"/><Relationship Id="rId13" Type="http://schemas.openxmlformats.org/officeDocument/2006/relationships/customXml" Target="../customXml/item2.xml"/><Relationship Id="rId12" Type="http://schemas.openxmlformats.org/officeDocument/2006/relationships/numbering" Target="numbering.xml"/><Relationship Id="rId11" Type="http://schemas.openxmlformats.org/officeDocument/2006/relationships/customXml" Target="../customXml/item1.xml"/><Relationship Id="rId10" Type="http://schemas.openxmlformats.org/officeDocument/2006/relationships/image" Target="media/image4.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footer3.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Office">
      <a:dk1>
        <a:srgbClr val="000000"/>
      </a:dk1>
      <a:lt1>
        <a:srgbClr val="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majorFont>
      <a:minorFont>
        <a:latin typeface="Calibri"/>
        <a:ea typeface=""/>
        <a:cs typeface=""/>
      </a:minorFont>
    </a:fontScheme>
    <a:fmtScheme name="">
      <a:fillStyleLst>
        <a:solidFill>
          <a:schemeClr val="phClr"/>
        </a:solidFill>
        <a:gradFill>
          <a:gsLst>
            <a:gs pos="0">
              <a:schemeClr val="phClr">
                <a:lumMod val="110000"/>
                <a:tint val="67000"/>
              </a:schemeClr>
            </a:gs>
            <a:gs pos="50000">
              <a:schemeClr val="phClr">
                <a:lumMod val="105000"/>
                <a:tint val="73000"/>
              </a:schemeClr>
            </a:gs>
            <a:gs pos="100000">
              <a:schemeClr val="phClr">
                <a:lumMod val="105000"/>
                <a:tint val="81000"/>
              </a:schemeClr>
            </a:gs>
          </a:gsLst>
          <a:lin ang="5400000" scaled="0"/>
          <a:tileRect/>
        </a:gradFill>
        <a:gradFill>
          <a:gsLst>
            <a:gs pos="0">
              <a:schemeClr val="phClr">
                <a:lumMod val="102000"/>
                <a:tint val="94000"/>
              </a:schemeClr>
            </a:gs>
            <a:gs pos="50000">
              <a:schemeClr val="phClr">
                <a:lumMod val="100000"/>
                <a:shade val="100000"/>
              </a:schemeClr>
            </a:gs>
            <a:gs pos="100000">
              <a:schemeClr val="phClr">
                <a:lumMod val="99000"/>
                <a:shade val="78000"/>
              </a:schemeClr>
            </a:gs>
          </a:gsLst>
          <a:lin ang="5400000" scaled="0"/>
          <a:tileRect/>
        </a:gradFill>
      </a:fillStyleLst>
      <a:lnStyleLst>
        <a:ln w="6350" cap="flat" cmpd="sng" algn="ctr">
          <a:prstDash val="solid"/>
          <a:miter lim="800000"/>
        </a:ln>
        <a:ln w="12700" cap="flat" cmpd="sng" algn="ctr">
          <a:prstDash val="solid"/>
          <a:miter lim="800000"/>
        </a:ln>
        <a:ln w="19050" cap="flat" cmpd="sng" algn="ctr">
          <a:prstDash val="solid"/>
          <a:miter lim="800000"/>
        </a:ln>
      </a:lnStyleLst>
      <a:effectStyleLst>
        <a:effectStyle>
          <a:effectLst/>
        </a:effectStyle>
        <a:effectStyle>
          <a:effectLst/>
        </a:effectStyle>
        <a:effectStyle>
          <a:effectLst/>
        </a:effectStyle>
      </a:effectStyleLst>
      <a:bgFillStyleLst>
        <a:solidFill>
          <a:schemeClr val="phClr"/>
        </a:solidFill>
        <a:solidFill>
          <a:schemeClr val="phClr">
            <a:tint val="95000"/>
          </a:schemeClr>
        </a:solidFill>
        <a:gradFill>
          <a:gsLst>
            <a:gs pos="0">
              <a:schemeClr val="phClr">
                <a:tint val="93000"/>
                <a:shade val="98000"/>
                <a:lumMod val="102000"/>
              </a:schemeClr>
            </a:gs>
            <a:gs pos="50000">
              <a:schemeClr val="phClr">
                <a:tint val="98000"/>
                <a:shade val="90000"/>
                <a:lumMod val="103000"/>
              </a:schemeClr>
            </a:gs>
            <a:gs pos="100000">
              <a:schemeClr val="phClr">
                <a:shade val="63000"/>
              </a:schemeClr>
            </a:gs>
          </a:gsLst>
          <a:lin ang="5400000" scaled="0"/>
          <a:tileRect/>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go:gDocsCustomXmlDataStorage xmlns:go="http://customooxmlschemas.google.com/" xmlns:r="http://schemas.openxmlformats.org/officeDocument/2006/relationships" uri="GoogleDocsCustomDataVersion2">
  <go:docsCustomData roundtripDataSignature="AMtx7mhtB7Duox5Oja++z+Y4QuteTuN+Rg==">CgMxLjA4AHIhMTl0Sm81dktIbUhXUUYzelJ2ekduYWp1c0pzY2NRYWNK</go:docsCustomData>
</go:gDocsCustomXmlDataStorage>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1111111-1234-1234-1234-123412341234}">
  <ds:schemaRefs/>
</ds:datastoreItem>
</file>

<file path=customXml/itemProps3.xml><?xml version="1.0" encoding="utf-8"?>
<ds:datastoreItem xmlns:ds="http://schemas.openxmlformats.org/officeDocument/2006/customXml" ds:itemID="{950A68D6-58EB-4B89-8027-F98D0A695008}">
  <ds:schemaRefs/>
</ds:datastoreItem>
</file>

<file path=docProps/app.xml><?xml version="1.0" encoding="utf-8"?>
<Properties xmlns="http://schemas.openxmlformats.org/officeDocument/2006/extended-properties" xmlns:vt="http://schemas.openxmlformats.org/officeDocument/2006/docPropsVTypes">
  <Template>Normal</Template>
  <Pages>16</Pages>
  <Words>5395</Words>
  <Characters>29138</Characters>
  <Lines>242</Lines>
  <Paragraphs>68</Paragraphs>
  <TotalTime>1442</TotalTime>
  <ScaleCrop>false</ScaleCrop>
  <LinksUpToDate>false</LinksUpToDate>
  <CharactersWithSpaces>34465</CharactersWithSpaces>
  <Application>WPS Office_12.2.0.23196_F1E327BC-269C-435d-A152-05C5408002CA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2025-03-24T11:38:00Z</dcterms:created>
  <dc:creator>Av. Duque de Caxias, n°526, Vila Aurora Fone (66) 3411-5731    CEP 78740-100 – Rondonópolis/MT wEBSwww.rondonopolis.mt.gov.b</dc:creator>
  <cp:lastModifiedBy>CRISTIAN.SANTOS</cp:lastModifiedBy>
  <cp:lastPrinted>2026-03-31T13:09:23Z</cp:lastPrinted>
  <dcterms:modified xsi:type="dcterms:W3CDTF">2026-03-31T13:09:31Z</dcterms:modified>
  <cp:revision>218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1046-12.2.0.23196</vt:lpwstr>
  </property>
  <property fmtid="{D5CDD505-2E9C-101B-9397-08002B2CF9AE}" pid="3" name="ICV">
    <vt:lpwstr>113BB828EA0A4EEDA8ACA5B35B2852A8_12</vt:lpwstr>
  </property>
</Properties>
</file>